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5C2CC" w14:textId="77777777" w:rsidR="007A7E45" w:rsidRPr="00FE4B89" w:rsidRDefault="007A7E45" w:rsidP="00FE4B89"/>
    <w:p w14:paraId="642EBE4F" w14:textId="77777777" w:rsidR="00F231BA" w:rsidRDefault="00EF2986">
      <w:pPr>
        <w:pStyle w:val="Heading2"/>
      </w:pPr>
      <w:r>
        <w:t>07745 Agencija za ugljikovodike</w:t>
      </w:r>
    </w:p>
    <w:p w14:paraId="7047D15C" w14:textId="77777777" w:rsidR="00F231BA" w:rsidRDefault="00EF2986">
      <w:r>
        <w:t>Djelatnost Agencije za ugljikovodike (u daljnjem tekstu: AZU), utvrđena je Zakonom o osnivanju Agencije za ugljikovodike. Poslovi i zadaci koje Agencija provodi u svom poslovanju i za koje planira sredstva u proračunu su: sudjelovanje u pripremi i organizaciji prezentacija u cilju upoznavanja potencijalnih investitora s ugljikovodičnim i geotermalnim potencijalima Republike Hrvatske kroz operativne poslove vezane za prikupljanje, pohranu, obradu i zbrinjavanje svih podataka i rezultata prikupljenih prilikom</w:t>
      </w:r>
      <w:r>
        <w:t xml:space="preserve"> istraživanja i eksploatacije u Republici Hrvatskoj, davanje prijedloga nadležnom ministarstvu za donošenje odluke o provođenju javnog nadmetanja za odabir najpovoljnijeg ponuditelja za izdavanje dozvole i sklapanje ugovora, praćenje trendova i međunarodnih standarda u istraživanju i eksploataciji te osiguravanje njihove primjene, praćenje i nadzor investitora u izvršavanju svih preuzetih obveza sukladno dozvoli i ugovoru koji je sklopio s Vladom Republike Hrvatske te formiranje i upravljanje obveznim zalih</w:t>
      </w:r>
      <w:r>
        <w:t>ama nafte kroz kupnju fizičkih količina robe, nematerijalnog oblika robe kroz opcijske ugovore, osiguravanje skladišnih kapaciteta za čuvanje istih te zanavljanje zaliha u svrhu očuvanja zadane kvalitete.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981"/>
        <w:gridCol w:w="1936"/>
        <w:gridCol w:w="1936"/>
        <w:gridCol w:w="1947"/>
        <w:gridCol w:w="1198"/>
        <w:gridCol w:w="1208"/>
      </w:tblGrid>
      <w:tr w:rsidR="00F231BA" w14:paraId="08128F33" w14:textId="77777777">
        <w:trPr>
          <w:jc w:val="center"/>
        </w:trPr>
        <w:tc>
          <w:tcPr>
            <w:tcW w:w="1632" w:type="dxa"/>
            <w:shd w:val="clear" w:color="auto" w:fill="B5C0D8"/>
          </w:tcPr>
          <w:p w14:paraId="0E37AF82" w14:textId="77777777" w:rsidR="00F231BA" w:rsidRDefault="00F231BA">
            <w:pPr>
              <w:pStyle w:val="CellHeader"/>
              <w:jc w:val="center"/>
            </w:pPr>
          </w:p>
        </w:tc>
        <w:tc>
          <w:tcPr>
            <w:tcW w:w="2041" w:type="dxa"/>
            <w:shd w:val="clear" w:color="auto" w:fill="B5C0D8"/>
          </w:tcPr>
          <w:p w14:paraId="0954D616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Izvršenje 2023. (eur)</w:t>
            </w:r>
          </w:p>
        </w:tc>
        <w:tc>
          <w:tcPr>
            <w:tcW w:w="2041" w:type="dxa"/>
            <w:shd w:val="clear" w:color="auto" w:fill="B5C0D8"/>
          </w:tcPr>
          <w:p w14:paraId="16A5C4E4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Plan 2024. (eur)</w:t>
            </w:r>
          </w:p>
        </w:tc>
        <w:tc>
          <w:tcPr>
            <w:tcW w:w="2041" w:type="dxa"/>
            <w:shd w:val="clear" w:color="auto" w:fill="B5C0D8"/>
          </w:tcPr>
          <w:p w14:paraId="707F0976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Izvršenje 2024. (eur)</w:t>
            </w:r>
          </w:p>
        </w:tc>
        <w:tc>
          <w:tcPr>
            <w:tcW w:w="1224" w:type="dxa"/>
            <w:shd w:val="clear" w:color="auto" w:fill="B5C0D8"/>
          </w:tcPr>
          <w:p w14:paraId="549ADB44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Indeks izvršenje 2024./plan 2024.</w:t>
            </w:r>
          </w:p>
        </w:tc>
        <w:tc>
          <w:tcPr>
            <w:tcW w:w="1224" w:type="dxa"/>
            <w:shd w:val="clear" w:color="auto" w:fill="B5C0D8"/>
          </w:tcPr>
          <w:p w14:paraId="53DAB304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Indeks izvršenje 2024./2023.</w:t>
            </w:r>
          </w:p>
        </w:tc>
      </w:tr>
      <w:tr w:rsidR="00F231BA" w14:paraId="2DC6D01B" w14:textId="77777777">
        <w:trPr>
          <w:jc w:val="center"/>
        </w:trPr>
        <w:tc>
          <w:tcPr>
            <w:tcW w:w="1632" w:type="dxa"/>
            <w:vAlign w:val="top"/>
          </w:tcPr>
          <w:p w14:paraId="4B0C5CD6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07745-Agencija za ugljikovodike</w:t>
            </w:r>
          </w:p>
        </w:tc>
        <w:tc>
          <w:tcPr>
            <w:tcW w:w="2041" w:type="dxa"/>
            <w:vAlign w:val="top"/>
          </w:tcPr>
          <w:p w14:paraId="34525842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60.707.805</w:t>
            </w:r>
          </w:p>
        </w:tc>
        <w:tc>
          <w:tcPr>
            <w:tcW w:w="2041" w:type="dxa"/>
            <w:vAlign w:val="top"/>
          </w:tcPr>
          <w:p w14:paraId="56109FA3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98.334.764</w:t>
            </w:r>
          </w:p>
        </w:tc>
        <w:tc>
          <w:tcPr>
            <w:tcW w:w="2041" w:type="dxa"/>
            <w:vAlign w:val="top"/>
          </w:tcPr>
          <w:p w14:paraId="56C90AE1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101.920.653</w:t>
            </w:r>
          </w:p>
        </w:tc>
        <w:tc>
          <w:tcPr>
            <w:tcW w:w="1224" w:type="dxa"/>
            <w:vAlign w:val="top"/>
          </w:tcPr>
          <w:p w14:paraId="79B32B55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103,6</w:t>
            </w:r>
          </w:p>
        </w:tc>
        <w:tc>
          <w:tcPr>
            <w:tcW w:w="1224" w:type="dxa"/>
            <w:vAlign w:val="top"/>
          </w:tcPr>
          <w:p w14:paraId="699254A9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167,9</w:t>
            </w:r>
          </w:p>
        </w:tc>
      </w:tr>
      <w:tr w:rsidR="00F231BA" w14:paraId="7328931C" w14:textId="77777777">
        <w:trPr>
          <w:jc w:val="center"/>
        </w:trPr>
        <w:tc>
          <w:tcPr>
            <w:tcW w:w="1632" w:type="dxa"/>
          </w:tcPr>
          <w:p w14:paraId="3F2A6730" w14:textId="77777777" w:rsidR="00F231BA" w:rsidRDefault="00EF2986">
            <w:pPr>
              <w:jc w:val="left"/>
            </w:pPr>
            <w:r>
              <w:t>3225-RAZVOJ ENERGETSKOG SUSTAVA I GOSPODARENJA UGLJIKOVODICIMA</w:t>
            </w:r>
          </w:p>
        </w:tc>
        <w:tc>
          <w:tcPr>
            <w:tcW w:w="2041" w:type="dxa"/>
          </w:tcPr>
          <w:p w14:paraId="58C56BEF" w14:textId="77777777" w:rsidR="00F231BA" w:rsidRDefault="00EF2986">
            <w:pPr>
              <w:jc w:val="right"/>
            </w:pPr>
            <w:r>
              <w:t>60.707.805</w:t>
            </w:r>
          </w:p>
        </w:tc>
        <w:tc>
          <w:tcPr>
            <w:tcW w:w="2041" w:type="dxa"/>
          </w:tcPr>
          <w:p w14:paraId="28CAA550" w14:textId="77777777" w:rsidR="00F231BA" w:rsidRDefault="00EF2986">
            <w:pPr>
              <w:jc w:val="right"/>
            </w:pPr>
            <w:r>
              <w:t>98.334.764</w:t>
            </w:r>
          </w:p>
        </w:tc>
        <w:tc>
          <w:tcPr>
            <w:tcW w:w="2041" w:type="dxa"/>
          </w:tcPr>
          <w:p w14:paraId="0134C0B6" w14:textId="77777777" w:rsidR="00F231BA" w:rsidRDefault="00EF2986">
            <w:pPr>
              <w:jc w:val="right"/>
            </w:pPr>
            <w:r>
              <w:t>101.920.653</w:t>
            </w:r>
          </w:p>
        </w:tc>
        <w:tc>
          <w:tcPr>
            <w:tcW w:w="1224" w:type="dxa"/>
          </w:tcPr>
          <w:p w14:paraId="5FD1C701" w14:textId="77777777" w:rsidR="00F231BA" w:rsidRDefault="00EF2986">
            <w:pPr>
              <w:jc w:val="right"/>
            </w:pPr>
            <w:r>
              <w:t>103,6</w:t>
            </w:r>
          </w:p>
        </w:tc>
        <w:tc>
          <w:tcPr>
            <w:tcW w:w="1224" w:type="dxa"/>
          </w:tcPr>
          <w:p w14:paraId="0DCC56BF" w14:textId="77777777" w:rsidR="00F231BA" w:rsidRDefault="00EF2986">
            <w:pPr>
              <w:jc w:val="right"/>
            </w:pPr>
            <w:r>
              <w:t>167,9</w:t>
            </w:r>
          </w:p>
        </w:tc>
      </w:tr>
    </w:tbl>
    <w:p w14:paraId="76A07C13" w14:textId="77777777" w:rsidR="00F231BA" w:rsidRDefault="00F231BA">
      <w:pPr>
        <w:jc w:val="left"/>
      </w:pPr>
    </w:p>
    <w:p w14:paraId="05C4DC1E" w14:textId="77777777" w:rsidR="00F231BA" w:rsidRDefault="00EF2986">
      <w:pPr>
        <w:pStyle w:val="Heading3"/>
      </w:pPr>
      <w:r>
        <w:rPr>
          <w:rFonts w:cs="Times New Roman"/>
        </w:rPr>
        <w:t>3225 RAZVOJ ENERGETSKOG SUSTAVA I GOSPODARENJA UGLJIKOVODICIMA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981"/>
        <w:gridCol w:w="1936"/>
        <w:gridCol w:w="1936"/>
        <w:gridCol w:w="1947"/>
        <w:gridCol w:w="1198"/>
        <w:gridCol w:w="1208"/>
      </w:tblGrid>
      <w:tr w:rsidR="00F231BA" w14:paraId="5293FDF1" w14:textId="77777777">
        <w:trPr>
          <w:jc w:val="center"/>
        </w:trPr>
        <w:tc>
          <w:tcPr>
            <w:tcW w:w="1632" w:type="dxa"/>
            <w:shd w:val="clear" w:color="auto" w:fill="B5C0D8"/>
          </w:tcPr>
          <w:p w14:paraId="6C3D1E12" w14:textId="77777777" w:rsidR="00F231BA" w:rsidRDefault="00F231BA">
            <w:pPr>
              <w:pStyle w:val="CellHeader"/>
              <w:jc w:val="center"/>
            </w:pPr>
          </w:p>
        </w:tc>
        <w:tc>
          <w:tcPr>
            <w:tcW w:w="2041" w:type="dxa"/>
            <w:shd w:val="clear" w:color="auto" w:fill="B5C0D8"/>
          </w:tcPr>
          <w:p w14:paraId="7FB79B10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Izvršenje 2023. (eur)</w:t>
            </w:r>
          </w:p>
        </w:tc>
        <w:tc>
          <w:tcPr>
            <w:tcW w:w="2041" w:type="dxa"/>
            <w:shd w:val="clear" w:color="auto" w:fill="B5C0D8"/>
          </w:tcPr>
          <w:p w14:paraId="41C49ED6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Plan 2024. (eur)</w:t>
            </w:r>
          </w:p>
        </w:tc>
        <w:tc>
          <w:tcPr>
            <w:tcW w:w="2041" w:type="dxa"/>
            <w:shd w:val="clear" w:color="auto" w:fill="B5C0D8"/>
          </w:tcPr>
          <w:p w14:paraId="2F0E527B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Izvršenje 2024. (eur)</w:t>
            </w:r>
          </w:p>
        </w:tc>
        <w:tc>
          <w:tcPr>
            <w:tcW w:w="1224" w:type="dxa"/>
            <w:shd w:val="clear" w:color="auto" w:fill="B5C0D8"/>
          </w:tcPr>
          <w:p w14:paraId="537F113F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Indeks izvršenje 2024./plan 2024.</w:t>
            </w:r>
          </w:p>
        </w:tc>
        <w:tc>
          <w:tcPr>
            <w:tcW w:w="1224" w:type="dxa"/>
            <w:shd w:val="clear" w:color="auto" w:fill="B5C0D8"/>
          </w:tcPr>
          <w:p w14:paraId="4CC5928D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Index izvršenje 2024./2023.</w:t>
            </w:r>
          </w:p>
        </w:tc>
      </w:tr>
      <w:tr w:rsidR="00F231BA" w14:paraId="0AD35C07" w14:textId="77777777">
        <w:trPr>
          <w:jc w:val="center"/>
        </w:trPr>
        <w:tc>
          <w:tcPr>
            <w:tcW w:w="1632" w:type="dxa"/>
          </w:tcPr>
          <w:p w14:paraId="1281F4C6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3225-RAZVOJ ENERGETSKOG SUSTAVA I GOSPODARENJA UGLJIKOVODICIMA</w:t>
            </w:r>
          </w:p>
        </w:tc>
        <w:tc>
          <w:tcPr>
            <w:tcW w:w="2041" w:type="dxa"/>
          </w:tcPr>
          <w:p w14:paraId="1E980AD3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60.707.805</w:t>
            </w:r>
          </w:p>
        </w:tc>
        <w:tc>
          <w:tcPr>
            <w:tcW w:w="2041" w:type="dxa"/>
          </w:tcPr>
          <w:p w14:paraId="49E411A6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98.334.764</w:t>
            </w:r>
          </w:p>
        </w:tc>
        <w:tc>
          <w:tcPr>
            <w:tcW w:w="2041" w:type="dxa"/>
          </w:tcPr>
          <w:p w14:paraId="4D85F4B5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101.920.653</w:t>
            </w:r>
          </w:p>
        </w:tc>
        <w:tc>
          <w:tcPr>
            <w:tcW w:w="1224" w:type="dxa"/>
          </w:tcPr>
          <w:p w14:paraId="270990B5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103,6</w:t>
            </w:r>
          </w:p>
        </w:tc>
        <w:tc>
          <w:tcPr>
            <w:tcW w:w="1224" w:type="dxa"/>
          </w:tcPr>
          <w:p w14:paraId="35013823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167,9</w:t>
            </w:r>
          </w:p>
        </w:tc>
      </w:tr>
    </w:tbl>
    <w:p w14:paraId="697E2CB1" w14:textId="77777777" w:rsidR="00F231BA" w:rsidRDefault="00F231BA">
      <w:pPr>
        <w:jc w:val="left"/>
      </w:pPr>
    </w:p>
    <w:p w14:paraId="28856C53" w14:textId="77777777" w:rsidR="00F231BA" w:rsidRDefault="00EF2986">
      <w:r>
        <w:t>U okviru Programa razvoja energetskog sustava i gospodarenja ugljkovodicima provode se aktivnosti vezane uz poslove istraživanja i eksploatacije ugljikovodika gdje se utvrđuje geološki potencijal kopna i mora, vodi se i organizira baza geoloških i geofizičkih podataka, kao i podataka o bušotinama radi upoznavanja potencijalnih investitora s ugljikovodičnim, geotermalnim i geološkim potencijalima za skladištenje prirodnog plina i trajno zbrinjavanje ugljikova dioksida. Provedbom Programa državnog proračuna 3</w:t>
      </w:r>
      <w:r>
        <w:t xml:space="preserve">225 Razvoj energetskog sustava i gospodarenje ugljikovodicima, osiguravaju se preduvjeti za povećanje ulaganja, kao i konkurentni uvjeti u istraživanju i eksploataciji ugljikovodika, provođenje naftno-rudarskih radova u svrhu ispitivanja geotermalnog potencijala na području Republike Hrvatske poštujući pritom načela zaštite nacionalnih interesa Republike Hrvatske i omogućavajući investitorima sigurnost i stabilnost investicija i poslovanja. Obvezne zalihe nafte i naftnih derivata formiraju se za osiguranje </w:t>
      </w:r>
      <w:r>
        <w:t>opskrbe naftom i naftnim derivatima u slučaju prijetnje energetskoj sigurnosti države, zbog izvanrednih poremećaja opskrbe tržišta nafte i naftnih derivata. Obvezne zalihe nafte i naftnih derivata koriste se u slučaju poremećaja opskrbe na tržištu nafte i naftnih derivata u Republici Hrvatskoj te radi ispunjenja međunarodnih obveza Republike Hrvatske na temelju odluka Međunarodne agencije za energiju i Europske komisije o puštanju obveznih zaliha nafte i naftnih derivata na tržište.</w:t>
      </w:r>
    </w:p>
    <w:p w14:paraId="219986D1" w14:textId="77777777" w:rsidR="00F231BA" w:rsidRDefault="00EF2986">
      <w:pPr>
        <w:pStyle w:val="Heading8"/>
        <w:jc w:val="left"/>
      </w:pPr>
      <w:r>
        <w:lastRenderedPageBreak/>
        <w:t>Cilj 1. Povećati investicije u istraživanje i eksploataciju ugljikovodika</w:t>
      </w:r>
    </w:p>
    <w:p w14:paraId="19D5D186" w14:textId="77777777" w:rsidR="00F231BA" w:rsidRDefault="00EF2986">
      <w:pPr>
        <w:pStyle w:val="Heading8"/>
        <w:jc w:val="left"/>
      </w:pPr>
      <w:r>
        <w:t>Opis provedbe cilja programa</w:t>
      </w:r>
    </w:p>
    <w:p w14:paraId="3AD3D41A" w14:textId="77777777" w:rsidR="00F231BA" w:rsidRDefault="00EF2986">
      <w:r>
        <w:t xml:space="preserve">Projekti istraživanja i eksploatacije ugljikovodika uključuju praćenje izvršenja ugovora koje su investitori potpisali s Vladom Republike Hrvatske kao i odobravanje izvršenih radova odnosno investicija vezanih uz izvršenje ugovora. </w:t>
      </w:r>
    </w:p>
    <w:p w14:paraId="6B7CBBCA" w14:textId="77777777" w:rsidR="00F231BA" w:rsidRDefault="00EF2986">
      <w:r>
        <w:t>Potencijalni novi ugovori ostvaruju se postupkom nadmetanja kojim Agencija kontinuirano upravlja portfeljom dostupnih područja za istraživanje i eksploataciju ugljikovodika a time i novih ulaganja. Navedeno povećava energetsku sigurnost te smanjuje ovisnost o uvozu energenata</w:t>
      </w:r>
    </w:p>
    <w:p w14:paraId="2B3D2620" w14:textId="77777777" w:rsidR="00F231BA" w:rsidRDefault="00EF2986">
      <w:pPr>
        <w:pStyle w:val="Heading8"/>
        <w:jc w:val="left"/>
      </w:pPr>
      <w:r>
        <w:t>Cilj 2. Formiranje i upravljanje obveznim zalihama nafte i naftnih derivata</w:t>
      </w:r>
    </w:p>
    <w:p w14:paraId="63EC6946" w14:textId="77777777" w:rsidR="00F231BA" w:rsidRDefault="00EF2986">
      <w:pPr>
        <w:pStyle w:val="Heading8"/>
        <w:jc w:val="left"/>
      </w:pPr>
      <w:r>
        <w:t>Opis provedbe cilja programa</w:t>
      </w:r>
    </w:p>
    <w:p w14:paraId="7F8F7F7D" w14:textId="77777777" w:rsidR="00F231BA" w:rsidRDefault="00EF2986">
      <w:r>
        <w:t>Formiranje i upravljanje obveznim zalihama nafte i naftnih derivata provedeno je sukladno Odluci o količini i strukturi obveznih zaliha nafte i naftnih derivata za 2024. godinu te sukladno Uredbi o kvaliteti tekučih naftnih goriva (NN 131/2021) i važećim ugovorima o skladištenju nafte i naftnih derivata</w:t>
      </w:r>
    </w:p>
    <w:p w14:paraId="3F1ACF2D" w14:textId="77777777" w:rsidR="00F231BA" w:rsidRDefault="00EF2986">
      <w:pPr>
        <w:pStyle w:val="Heading8"/>
        <w:jc w:val="left"/>
      </w:pPr>
      <w:r>
        <w:t xml:space="preserve">Cilj 3. Utvrditi geotermalni potencijal RH </w:t>
      </w:r>
    </w:p>
    <w:p w14:paraId="028AD96D" w14:textId="77777777" w:rsidR="00F231BA" w:rsidRDefault="00EF2986">
      <w:pPr>
        <w:pStyle w:val="Heading8"/>
        <w:jc w:val="left"/>
      </w:pPr>
      <w:r>
        <w:t>Opis provedbe cilja programa</w:t>
      </w:r>
    </w:p>
    <w:p w14:paraId="23C3E98A" w14:textId="77777777" w:rsidR="00F231BA" w:rsidRDefault="00EF2986">
      <w:r>
        <w:t xml:space="preserve">Program postavlja temelje za dugoročnu primjenu geotermalne energije u toplinarstvu, izravno doprinoseći ciljevima zelene tranzicije i dekarbonizacije energetskog sektora. Kako bi se utvrdio geotermalni potencijal Hrvatske za potrebe toplinarstva, potrebno je provesti istražne aktivnosti i naftno-rudarske radove. </w:t>
      </w:r>
    </w:p>
    <w:p w14:paraId="2DE31CCB" w14:textId="77777777" w:rsidR="00F231BA" w:rsidRDefault="00EF2986">
      <w:r>
        <w:t>Do sada su obavljeni istražni geofizički radovi: snimanje, obrada i interpretacija 2D seizmike te snimanje, obrada i interpretacija magnetotelurskih podataka. Snimanjem 2D seizmičkih podataka su prikupljeni se novi visoko rezolutnih i kvalitetnih seizmički podaci čijom se obradom i interpretacijom dobila jasnija slika o geološkoj građi i strukturno-tektonskim odnosima podzemlja promatranih područja. Magnetotelurskim mjerenjima su dobiveni podaci o električnoj otpornosti podzemnih slojeva, što pomaže u određ</w:t>
      </w:r>
      <w:r>
        <w:t xml:space="preserve">ivanju geoloških struktura i identificiranju zona s većim potencijalom za postojanje geotermalnih resursa. </w:t>
      </w:r>
    </w:p>
    <w:p w14:paraId="7CD45110" w14:textId="77777777" w:rsidR="00F231BA" w:rsidRDefault="00EF2986">
      <w:r>
        <w:t>Konačna potvrda geotermalnog potencijala bit će ostvarena kroz istražna bušenja. Izradom, opremanjem i ispitivanjem geotermalnih bušotina će se dobiti konačna slika podzemlja i geotermalnog potencijala promatranog područja. Ispitivanjem geotermalnih bušotina na dotok će se dobiti  ključne informacije o temperaturama ležišta, protoku geotermalne vode, njenom kemijskom sastavu te drugim parametrima koji su nužni za potpuno razumijevanje geotermalnih ležišta. Ovi podaci omogućit će utvrđivanje te potvrdu geote</w:t>
      </w:r>
      <w:r>
        <w:t>rmalnog potencijala na promatranim područjima te pružiti osnovne podatke potrebne za određivanje potencijalne ekonomske isplativosti eksploatacije geotermalnih voda.</w:t>
      </w:r>
    </w:p>
    <w:p w14:paraId="7836D14A" w14:textId="77777777" w:rsidR="00F231BA" w:rsidRDefault="00EF2986">
      <w:pPr>
        <w:pStyle w:val="Heading8"/>
        <w:jc w:val="left"/>
      </w:pPr>
      <w:r>
        <w:t>Pokazatelji učinka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2553"/>
        <w:gridCol w:w="2553"/>
        <w:gridCol w:w="1020"/>
        <w:gridCol w:w="1020"/>
        <w:gridCol w:w="1020"/>
        <w:gridCol w:w="1020"/>
        <w:gridCol w:w="1020"/>
      </w:tblGrid>
      <w:tr w:rsidR="00F231BA" w14:paraId="6DB0F4BE" w14:textId="77777777">
        <w:trPr>
          <w:jc w:val="center"/>
        </w:trPr>
        <w:tc>
          <w:tcPr>
            <w:tcW w:w="2551" w:type="dxa"/>
            <w:shd w:val="clear" w:color="auto" w:fill="B5C0D8"/>
          </w:tcPr>
          <w:p w14:paraId="6A07F519" w14:textId="77777777" w:rsidR="00F231BA" w:rsidRDefault="00EF2986">
            <w:pPr>
              <w:jc w:val="center"/>
            </w:pPr>
            <w:r>
              <w:t>Pokazatelj učinka</w:t>
            </w:r>
          </w:p>
        </w:tc>
        <w:tc>
          <w:tcPr>
            <w:tcW w:w="2551" w:type="dxa"/>
            <w:shd w:val="clear" w:color="auto" w:fill="B5C0D8"/>
          </w:tcPr>
          <w:p w14:paraId="4E52AB9B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Definicija</w:t>
            </w:r>
          </w:p>
        </w:tc>
        <w:tc>
          <w:tcPr>
            <w:tcW w:w="1020" w:type="dxa"/>
            <w:shd w:val="clear" w:color="auto" w:fill="B5C0D8"/>
          </w:tcPr>
          <w:p w14:paraId="548E25E2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Jedinica</w:t>
            </w:r>
          </w:p>
        </w:tc>
        <w:tc>
          <w:tcPr>
            <w:tcW w:w="1020" w:type="dxa"/>
            <w:shd w:val="clear" w:color="auto" w:fill="B5C0D8"/>
          </w:tcPr>
          <w:p w14:paraId="6C50415D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Polazna vrijednost</w:t>
            </w:r>
          </w:p>
        </w:tc>
        <w:tc>
          <w:tcPr>
            <w:tcW w:w="918" w:type="dxa"/>
            <w:shd w:val="clear" w:color="auto" w:fill="B5C0D8"/>
          </w:tcPr>
          <w:p w14:paraId="5DE88D10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Izvor podataka</w:t>
            </w:r>
          </w:p>
        </w:tc>
        <w:tc>
          <w:tcPr>
            <w:tcW w:w="1020" w:type="dxa"/>
            <w:shd w:val="clear" w:color="auto" w:fill="B5C0D8"/>
          </w:tcPr>
          <w:p w14:paraId="3D787774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(2024.)</w:t>
            </w:r>
          </w:p>
        </w:tc>
        <w:tc>
          <w:tcPr>
            <w:tcW w:w="1020" w:type="dxa"/>
            <w:shd w:val="clear" w:color="auto" w:fill="B5C0D8"/>
          </w:tcPr>
          <w:p w14:paraId="518B7269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Ostvarena vrijednost (2024.)</w:t>
            </w:r>
          </w:p>
        </w:tc>
      </w:tr>
      <w:tr w:rsidR="00F231BA" w14:paraId="0BCA4AD9" w14:textId="77777777">
        <w:trPr>
          <w:jc w:val="center"/>
        </w:trPr>
        <w:tc>
          <w:tcPr>
            <w:tcW w:w="2551" w:type="dxa"/>
          </w:tcPr>
          <w:p w14:paraId="38AA0B9E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Povećanje broja sklopljenih ugovora s odabranim investitorima za istraživanje i eksploataciju ugljikovodika</w:t>
            </w:r>
          </w:p>
        </w:tc>
        <w:tc>
          <w:tcPr>
            <w:tcW w:w="2551" w:type="dxa"/>
          </w:tcPr>
          <w:p w14:paraId="6E8C8A22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Provedba javnih nadmetanja i pregovori s odabranim investitorima</w:t>
            </w:r>
          </w:p>
        </w:tc>
        <w:tc>
          <w:tcPr>
            <w:tcW w:w="1020" w:type="dxa"/>
          </w:tcPr>
          <w:p w14:paraId="209C1D1C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Broj sklopljenih ugovora</w:t>
            </w:r>
          </w:p>
        </w:tc>
        <w:tc>
          <w:tcPr>
            <w:tcW w:w="1020" w:type="dxa"/>
          </w:tcPr>
          <w:p w14:paraId="20157E3C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7</w:t>
            </w:r>
          </w:p>
        </w:tc>
        <w:tc>
          <w:tcPr>
            <w:tcW w:w="1020" w:type="dxa"/>
          </w:tcPr>
          <w:p w14:paraId="73988D13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AZU</w:t>
            </w:r>
          </w:p>
        </w:tc>
        <w:tc>
          <w:tcPr>
            <w:tcW w:w="1020" w:type="dxa"/>
          </w:tcPr>
          <w:p w14:paraId="3E690478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7</w:t>
            </w:r>
          </w:p>
        </w:tc>
        <w:tc>
          <w:tcPr>
            <w:tcW w:w="1020" w:type="dxa"/>
          </w:tcPr>
          <w:p w14:paraId="5DDD3F17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6</w:t>
            </w:r>
          </w:p>
        </w:tc>
      </w:tr>
      <w:tr w:rsidR="00F231BA" w14:paraId="752A847C" w14:textId="77777777">
        <w:trPr>
          <w:jc w:val="center"/>
        </w:trPr>
        <w:tc>
          <w:tcPr>
            <w:tcW w:w="2551" w:type="dxa"/>
          </w:tcPr>
          <w:p w14:paraId="6AA6131D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Formirane i uskladištene obvezne zalihe nafte i naftnih derivata u količini i strukturi određenoj važećim pravnim propisima (broj dana)</w:t>
            </w:r>
          </w:p>
        </w:tc>
        <w:tc>
          <w:tcPr>
            <w:tcW w:w="2551" w:type="dxa"/>
          </w:tcPr>
          <w:p w14:paraId="003826CA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Količina nabavljene nafte i naftnih derivata izračunate na temelju neto dnevnog uvoza</w:t>
            </w:r>
          </w:p>
        </w:tc>
        <w:tc>
          <w:tcPr>
            <w:tcW w:w="1020" w:type="dxa"/>
          </w:tcPr>
          <w:p w14:paraId="0534D267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Broj dana</w:t>
            </w:r>
          </w:p>
        </w:tc>
        <w:tc>
          <w:tcPr>
            <w:tcW w:w="1020" w:type="dxa"/>
          </w:tcPr>
          <w:p w14:paraId="567863AE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90</w:t>
            </w:r>
          </w:p>
        </w:tc>
        <w:tc>
          <w:tcPr>
            <w:tcW w:w="1020" w:type="dxa"/>
          </w:tcPr>
          <w:p w14:paraId="6394DD24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AZU</w:t>
            </w:r>
          </w:p>
        </w:tc>
        <w:tc>
          <w:tcPr>
            <w:tcW w:w="1020" w:type="dxa"/>
          </w:tcPr>
          <w:p w14:paraId="60F49A59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93</w:t>
            </w:r>
          </w:p>
        </w:tc>
        <w:tc>
          <w:tcPr>
            <w:tcW w:w="1020" w:type="dxa"/>
          </w:tcPr>
          <w:p w14:paraId="22D2343B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93</w:t>
            </w:r>
          </w:p>
        </w:tc>
      </w:tr>
      <w:tr w:rsidR="00F231BA" w14:paraId="586265F3" w14:textId="77777777">
        <w:trPr>
          <w:jc w:val="center"/>
        </w:trPr>
        <w:tc>
          <w:tcPr>
            <w:tcW w:w="2551" w:type="dxa"/>
          </w:tcPr>
          <w:p w14:paraId="7B298D11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Istraženi i pripremljeni projekti korištenja geotermalne energije</w:t>
            </w:r>
          </w:p>
        </w:tc>
        <w:tc>
          <w:tcPr>
            <w:tcW w:w="2551" w:type="dxa"/>
          </w:tcPr>
          <w:p w14:paraId="0415C77B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Predistražne radnje za utvrđivanje geotermalnog potencijala za potrebe toplinarstva</w:t>
            </w:r>
          </w:p>
        </w:tc>
        <w:tc>
          <w:tcPr>
            <w:tcW w:w="1020" w:type="dxa"/>
          </w:tcPr>
          <w:p w14:paraId="5292685D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Broj sklopljenih ugovora</w:t>
            </w:r>
          </w:p>
        </w:tc>
        <w:tc>
          <w:tcPr>
            <w:tcW w:w="1020" w:type="dxa"/>
          </w:tcPr>
          <w:p w14:paraId="55BA97D8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0</w:t>
            </w:r>
          </w:p>
        </w:tc>
        <w:tc>
          <w:tcPr>
            <w:tcW w:w="1020" w:type="dxa"/>
          </w:tcPr>
          <w:p w14:paraId="72600E0F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NPOO-AZU</w:t>
            </w:r>
          </w:p>
        </w:tc>
        <w:tc>
          <w:tcPr>
            <w:tcW w:w="1020" w:type="dxa"/>
          </w:tcPr>
          <w:p w14:paraId="6A08586C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6</w:t>
            </w:r>
          </w:p>
        </w:tc>
        <w:tc>
          <w:tcPr>
            <w:tcW w:w="1020" w:type="dxa"/>
          </w:tcPr>
          <w:p w14:paraId="5D35148E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6</w:t>
            </w:r>
          </w:p>
        </w:tc>
      </w:tr>
    </w:tbl>
    <w:p w14:paraId="51EDF75D" w14:textId="77777777" w:rsidR="00F231BA" w:rsidRDefault="00F231BA">
      <w:pPr>
        <w:jc w:val="left"/>
      </w:pPr>
    </w:p>
    <w:p w14:paraId="31378DB1" w14:textId="77777777" w:rsidR="00F231BA" w:rsidRDefault="00EF2986">
      <w:pPr>
        <w:pStyle w:val="Heading4"/>
      </w:pPr>
      <w:r>
        <w:lastRenderedPageBreak/>
        <w:t>A919002 UPRAVLJANJE BAZOM GEOLOŠKIH, GEOFIZIČKIH I BUŠOTINSKIH PODATAKA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632"/>
        <w:gridCol w:w="2042"/>
        <w:gridCol w:w="2042"/>
        <w:gridCol w:w="2042"/>
        <w:gridCol w:w="1224"/>
        <w:gridCol w:w="1224"/>
      </w:tblGrid>
      <w:tr w:rsidR="00F231BA" w14:paraId="6FD42A39" w14:textId="77777777">
        <w:trPr>
          <w:jc w:val="center"/>
        </w:trPr>
        <w:tc>
          <w:tcPr>
            <w:tcW w:w="1632" w:type="dxa"/>
            <w:shd w:val="clear" w:color="auto" w:fill="B5C0D8"/>
          </w:tcPr>
          <w:p w14:paraId="3B439026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Naziv aktivnosti</w:t>
            </w:r>
          </w:p>
        </w:tc>
        <w:tc>
          <w:tcPr>
            <w:tcW w:w="2041" w:type="dxa"/>
            <w:shd w:val="clear" w:color="auto" w:fill="B5C0D8"/>
          </w:tcPr>
          <w:p w14:paraId="29FDDB45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Izvršenje 2023. (eur)</w:t>
            </w:r>
          </w:p>
        </w:tc>
        <w:tc>
          <w:tcPr>
            <w:tcW w:w="2041" w:type="dxa"/>
            <w:shd w:val="clear" w:color="auto" w:fill="B5C0D8"/>
          </w:tcPr>
          <w:p w14:paraId="0AD1BB43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Plan 2024. (eur)</w:t>
            </w:r>
          </w:p>
        </w:tc>
        <w:tc>
          <w:tcPr>
            <w:tcW w:w="2041" w:type="dxa"/>
            <w:shd w:val="clear" w:color="auto" w:fill="B5C0D8"/>
          </w:tcPr>
          <w:p w14:paraId="2B09C0F9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Izvršenje 2024. (eur)</w:t>
            </w:r>
          </w:p>
        </w:tc>
        <w:tc>
          <w:tcPr>
            <w:tcW w:w="1224" w:type="dxa"/>
            <w:shd w:val="clear" w:color="auto" w:fill="B5C0D8"/>
          </w:tcPr>
          <w:p w14:paraId="303CDCCF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Indeks izvršenje 2024./plan 2024.</w:t>
            </w:r>
          </w:p>
        </w:tc>
        <w:tc>
          <w:tcPr>
            <w:tcW w:w="1224" w:type="dxa"/>
            <w:shd w:val="clear" w:color="auto" w:fill="B5C0D8"/>
          </w:tcPr>
          <w:p w14:paraId="29EFCE90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Indeks izvršenje 2024./2023.</w:t>
            </w:r>
          </w:p>
        </w:tc>
      </w:tr>
      <w:tr w:rsidR="00F231BA" w14:paraId="66B21636" w14:textId="77777777">
        <w:trPr>
          <w:jc w:val="center"/>
        </w:trPr>
        <w:tc>
          <w:tcPr>
            <w:tcW w:w="1632" w:type="dxa"/>
          </w:tcPr>
          <w:p w14:paraId="3964CA96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A919002-UPRAVLJANJE BAZOM GEOLOŠKIH, GEOFIZIČKIH I BUŠOTINSKIH PODATAKA</w:t>
            </w:r>
          </w:p>
        </w:tc>
        <w:tc>
          <w:tcPr>
            <w:tcW w:w="2041" w:type="dxa"/>
          </w:tcPr>
          <w:p w14:paraId="6ABCBC53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46.261</w:t>
            </w:r>
          </w:p>
        </w:tc>
        <w:tc>
          <w:tcPr>
            <w:tcW w:w="2041" w:type="dxa"/>
          </w:tcPr>
          <w:p w14:paraId="6591A234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71.250</w:t>
            </w:r>
          </w:p>
        </w:tc>
        <w:tc>
          <w:tcPr>
            <w:tcW w:w="2041" w:type="dxa"/>
          </w:tcPr>
          <w:p w14:paraId="1F088DDE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62.120</w:t>
            </w:r>
          </w:p>
        </w:tc>
        <w:tc>
          <w:tcPr>
            <w:tcW w:w="1224" w:type="dxa"/>
          </w:tcPr>
          <w:p w14:paraId="2637437C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87,2</w:t>
            </w:r>
          </w:p>
        </w:tc>
        <w:tc>
          <w:tcPr>
            <w:tcW w:w="1224" w:type="dxa"/>
          </w:tcPr>
          <w:p w14:paraId="3124AA9D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134,3</w:t>
            </w:r>
          </w:p>
        </w:tc>
      </w:tr>
    </w:tbl>
    <w:p w14:paraId="590AF2E7" w14:textId="77777777" w:rsidR="00F231BA" w:rsidRDefault="00F231BA">
      <w:pPr>
        <w:jc w:val="left"/>
      </w:pPr>
    </w:p>
    <w:p w14:paraId="1415673B" w14:textId="77777777" w:rsidR="00F231BA" w:rsidRDefault="00EF2986">
      <w:pPr>
        <w:pStyle w:val="Heading8"/>
        <w:jc w:val="left"/>
      </w:pPr>
      <w:r>
        <w:t>Zakonske i druge pravne osnove</w:t>
      </w:r>
    </w:p>
    <w:p w14:paraId="1425F7B6" w14:textId="77777777" w:rsidR="00F231BA" w:rsidRDefault="00EF2986">
      <w:r>
        <w:t xml:space="preserve">Zakon o istraživanju i eksploataciji ugljikovodika </w:t>
      </w:r>
    </w:p>
    <w:p w14:paraId="0F9CBA37" w14:textId="77777777" w:rsidR="00F231BA" w:rsidRDefault="00EF2986">
      <w:r>
        <w:t xml:space="preserve">Zakon o osnivanju Agencije za ugljikovodike </w:t>
      </w:r>
    </w:p>
    <w:p w14:paraId="0AA09332" w14:textId="77777777" w:rsidR="00F231BA" w:rsidRDefault="00EF2986">
      <w:r>
        <w:t>Pravilnik o prisupu sobi s podacima i korištenju podataka</w:t>
      </w:r>
    </w:p>
    <w:p w14:paraId="4D3B9604" w14:textId="77777777" w:rsidR="00F231BA" w:rsidRDefault="00EF2986">
      <w:pPr>
        <w:pStyle w:val="Heading8"/>
        <w:jc w:val="left"/>
      </w:pPr>
      <w:r>
        <w:t>Opis aktivnosti</w:t>
      </w:r>
    </w:p>
    <w:p w14:paraId="01F701C8" w14:textId="77777777" w:rsidR="00F231BA" w:rsidRDefault="00EF2986">
      <w:r>
        <w:t>Agencija obavlja operativne poslove vezane za prikupljanje, pohranu, obradu i zbrinjavanje svih podataka i rezultata prikupljenih prilikom istraživanja i eksploatacije. Aktivnost obuhvaća održavanje i nadogradnju baze podataka,  kvantitativnu i kvalitativnu kontrolu zaprimljenih podataka, pripremu i vođenje sobe s podacima, pripremu podataka za potencijalne investitore i akademske zajednice. Održavanje i nadogradnja baze podataka odvija se pomoću specijaliziranih informatičkih programa.</w:t>
      </w:r>
    </w:p>
    <w:p w14:paraId="7C0BFF77" w14:textId="77777777" w:rsidR="00F231BA" w:rsidRDefault="00EF2986">
      <w:pPr>
        <w:pStyle w:val="Heading8"/>
        <w:jc w:val="left"/>
      </w:pPr>
      <w:r>
        <w:t>Pokazatelji rezultata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2553"/>
        <w:gridCol w:w="2553"/>
        <w:gridCol w:w="1020"/>
        <w:gridCol w:w="1020"/>
        <w:gridCol w:w="1020"/>
        <w:gridCol w:w="1020"/>
        <w:gridCol w:w="1020"/>
      </w:tblGrid>
      <w:tr w:rsidR="00F231BA" w14:paraId="7F9C1935" w14:textId="77777777">
        <w:trPr>
          <w:jc w:val="center"/>
        </w:trPr>
        <w:tc>
          <w:tcPr>
            <w:tcW w:w="2551" w:type="dxa"/>
            <w:shd w:val="clear" w:color="auto" w:fill="B5C0D8"/>
          </w:tcPr>
          <w:p w14:paraId="73545FB5" w14:textId="77777777" w:rsidR="00F231BA" w:rsidRDefault="00EF2986">
            <w:pPr>
              <w:jc w:val="center"/>
            </w:pPr>
            <w:r>
              <w:t>Pokazatelj rezultata</w:t>
            </w:r>
          </w:p>
        </w:tc>
        <w:tc>
          <w:tcPr>
            <w:tcW w:w="2551" w:type="dxa"/>
            <w:shd w:val="clear" w:color="auto" w:fill="B5C0D8"/>
          </w:tcPr>
          <w:p w14:paraId="06E88DAE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Definicija</w:t>
            </w:r>
          </w:p>
        </w:tc>
        <w:tc>
          <w:tcPr>
            <w:tcW w:w="1020" w:type="dxa"/>
            <w:shd w:val="clear" w:color="auto" w:fill="B5C0D8"/>
          </w:tcPr>
          <w:p w14:paraId="2290077B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Jedinica</w:t>
            </w:r>
          </w:p>
        </w:tc>
        <w:tc>
          <w:tcPr>
            <w:tcW w:w="1020" w:type="dxa"/>
            <w:shd w:val="clear" w:color="auto" w:fill="B5C0D8"/>
          </w:tcPr>
          <w:p w14:paraId="0A7BC72A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Polazna vrijednost</w:t>
            </w:r>
          </w:p>
        </w:tc>
        <w:tc>
          <w:tcPr>
            <w:tcW w:w="1020" w:type="dxa"/>
            <w:shd w:val="clear" w:color="auto" w:fill="B5C0D8"/>
          </w:tcPr>
          <w:p w14:paraId="499442B1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Izvor podataka</w:t>
            </w:r>
          </w:p>
        </w:tc>
        <w:tc>
          <w:tcPr>
            <w:tcW w:w="1020" w:type="dxa"/>
            <w:shd w:val="clear" w:color="auto" w:fill="B5C0D8"/>
          </w:tcPr>
          <w:p w14:paraId="57CF4F20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(2024.)</w:t>
            </w:r>
          </w:p>
        </w:tc>
        <w:tc>
          <w:tcPr>
            <w:tcW w:w="1020" w:type="dxa"/>
            <w:shd w:val="clear" w:color="auto" w:fill="B5C0D8"/>
          </w:tcPr>
          <w:p w14:paraId="471B5BC3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Ostvarena vrijednost (2024.)</w:t>
            </w:r>
          </w:p>
        </w:tc>
      </w:tr>
      <w:tr w:rsidR="00F231BA" w14:paraId="49C4E7A3" w14:textId="77777777">
        <w:trPr>
          <w:jc w:val="center"/>
        </w:trPr>
        <w:tc>
          <w:tcPr>
            <w:tcW w:w="2551" w:type="dxa"/>
          </w:tcPr>
          <w:p w14:paraId="22801080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Broj preuzetih kompleta dodatnih  geoloških, geofizičkih i bušotinskih podataka</w:t>
            </w:r>
          </w:p>
        </w:tc>
        <w:tc>
          <w:tcPr>
            <w:tcW w:w="2551" w:type="dxa"/>
          </w:tcPr>
          <w:p w14:paraId="2605B6EC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Preuzimanje geoloških, geofizičkih i bušotinskih podataka prikupljenih pri istraživanju i eksploataciji te kvantitativna i kvalitativna kontrola</w:t>
            </w:r>
          </w:p>
        </w:tc>
        <w:tc>
          <w:tcPr>
            <w:tcW w:w="1020" w:type="dxa"/>
          </w:tcPr>
          <w:p w14:paraId="44474CF5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kom</w:t>
            </w:r>
          </w:p>
        </w:tc>
        <w:tc>
          <w:tcPr>
            <w:tcW w:w="1020" w:type="dxa"/>
          </w:tcPr>
          <w:p w14:paraId="7E6028F1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14</w:t>
            </w:r>
          </w:p>
        </w:tc>
        <w:tc>
          <w:tcPr>
            <w:tcW w:w="1020" w:type="dxa"/>
          </w:tcPr>
          <w:p w14:paraId="4A0FB2DE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AZU</w:t>
            </w:r>
          </w:p>
        </w:tc>
        <w:tc>
          <w:tcPr>
            <w:tcW w:w="1020" w:type="dxa"/>
          </w:tcPr>
          <w:p w14:paraId="574DB84D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15</w:t>
            </w:r>
          </w:p>
        </w:tc>
        <w:tc>
          <w:tcPr>
            <w:tcW w:w="1020" w:type="dxa"/>
          </w:tcPr>
          <w:p w14:paraId="5BA45104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18</w:t>
            </w:r>
          </w:p>
        </w:tc>
      </w:tr>
      <w:tr w:rsidR="00F231BA" w14:paraId="4F5011C7" w14:textId="77777777">
        <w:trPr>
          <w:jc w:val="center"/>
        </w:trPr>
        <w:tc>
          <w:tcPr>
            <w:tcW w:w="2551" w:type="dxa"/>
          </w:tcPr>
          <w:p w14:paraId="21F7223F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 xml:space="preserve">Broj izrađenih kompleta podataka za istražne prostore </w:t>
            </w:r>
          </w:p>
          <w:p w14:paraId="20E9900C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Broj ulazaka u sobu s podacima</w:t>
            </w:r>
          </w:p>
        </w:tc>
        <w:tc>
          <w:tcPr>
            <w:tcW w:w="2551" w:type="dxa"/>
          </w:tcPr>
          <w:p w14:paraId="3B47E8F0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Organiziranje sobe s podacima (tzv."data room") i prezentacije geološkog potencijala i priprema podataka</w:t>
            </w:r>
          </w:p>
        </w:tc>
        <w:tc>
          <w:tcPr>
            <w:tcW w:w="1020" w:type="dxa"/>
          </w:tcPr>
          <w:p w14:paraId="50C00B17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kom</w:t>
            </w:r>
          </w:p>
        </w:tc>
        <w:tc>
          <w:tcPr>
            <w:tcW w:w="1020" w:type="dxa"/>
          </w:tcPr>
          <w:p w14:paraId="72764B44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18</w:t>
            </w:r>
          </w:p>
        </w:tc>
        <w:tc>
          <w:tcPr>
            <w:tcW w:w="1020" w:type="dxa"/>
          </w:tcPr>
          <w:p w14:paraId="3F326EB5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AZU</w:t>
            </w:r>
          </w:p>
        </w:tc>
        <w:tc>
          <w:tcPr>
            <w:tcW w:w="1020" w:type="dxa"/>
          </w:tcPr>
          <w:p w14:paraId="0CCDEB1A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20</w:t>
            </w:r>
          </w:p>
        </w:tc>
        <w:tc>
          <w:tcPr>
            <w:tcW w:w="1020" w:type="dxa"/>
          </w:tcPr>
          <w:p w14:paraId="52C0F3A6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42</w:t>
            </w:r>
          </w:p>
        </w:tc>
      </w:tr>
    </w:tbl>
    <w:p w14:paraId="4DC6DD67" w14:textId="77777777" w:rsidR="00F231BA" w:rsidRDefault="00F231BA">
      <w:pPr>
        <w:jc w:val="left"/>
      </w:pPr>
    </w:p>
    <w:p w14:paraId="612897A6" w14:textId="77777777" w:rsidR="00F231BA" w:rsidRDefault="00EF2986">
      <w:pPr>
        <w:pStyle w:val="Heading4"/>
      </w:pPr>
      <w:r>
        <w:t>A919003 ADMINISTRACIJA I UPRAVLJANJE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793"/>
        <w:gridCol w:w="1994"/>
        <w:gridCol w:w="1994"/>
        <w:gridCol w:w="1994"/>
        <w:gridCol w:w="1213"/>
        <w:gridCol w:w="1218"/>
      </w:tblGrid>
      <w:tr w:rsidR="00F231BA" w14:paraId="32C77D52" w14:textId="77777777">
        <w:trPr>
          <w:jc w:val="center"/>
        </w:trPr>
        <w:tc>
          <w:tcPr>
            <w:tcW w:w="1632" w:type="dxa"/>
            <w:shd w:val="clear" w:color="auto" w:fill="B5C0D8"/>
          </w:tcPr>
          <w:p w14:paraId="6D4EB656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Naziv aktivnosti</w:t>
            </w:r>
          </w:p>
        </w:tc>
        <w:tc>
          <w:tcPr>
            <w:tcW w:w="2041" w:type="dxa"/>
            <w:shd w:val="clear" w:color="auto" w:fill="B5C0D8"/>
          </w:tcPr>
          <w:p w14:paraId="7FB5E4D1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Izvršenje 2023. (eur)</w:t>
            </w:r>
          </w:p>
        </w:tc>
        <w:tc>
          <w:tcPr>
            <w:tcW w:w="2041" w:type="dxa"/>
            <w:shd w:val="clear" w:color="auto" w:fill="B5C0D8"/>
          </w:tcPr>
          <w:p w14:paraId="00183591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Plan 2024. (eur)</w:t>
            </w:r>
          </w:p>
        </w:tc>
        <w:tc>
          <w:tcPr>
            <w:tcW w:w="2041" w:type="dxa"/>
            <w:shd w:val="clear" w:color="auto" w:fill="B5C0D8"/>
          </w:tcPr>
          <w:p w14:paraId="3BCBB718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Izvršenje 2024. (eur)</w:t>
            </w:r>
          </w:p>
        </w:tc>
        <w:tc>
          <w:tcPr>
            <w:tcW w:w="1224" w:type="dxa"/>
            <w:shd w:val="clear" w:color="auto" w:fill="B5C0D8"/>
          </w:tcPr>
          <w:p w14:paraId="113BEF23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Indeks izvršenje 2024./plan 2024.</w:t>
            </w:r>
          </w:p>
        </w:tc>
        <w:tc>
          <w:tcPr>
            <w:tcW w:w="1224" w:type="dxa"/>
            <w:shd w:val="clear" w:color="auto" w:fill="B5C0D8"/>
          </w:tcPr>
          <w:p w14:paraId="4351C38B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Indeks izvršenje 2024./2023.</w:t>
            </w:r>
          </w:p>
        </w:tc>
      </w:tr>
      <w:tr w:rsidR="00F231BA" w14:paraId="27E94090" w14:textId="77777777">
        <w:trPr>
          <w:jc w:val="center"/>
        </w:trPr>
        <w:tc>
          <w:tcPr>
            <w:tcW w:w="1632" w:type="dxa"/>
          </w:tcPr>
          <w:p w14:paraId="2A1F73C1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A919003-ADMINISTRACIJA I UPRAVLJANJE</w:t>
            </w:r>
          </w:p>
        </w:tc>
        <w:tc>
          <w:tcPr>
            <w:tcW w:w="2041" w:type="dxa"/>
          </w:tcPr>
          <w:p w14:paraId="13A87919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2.290.383</w:t>
            </w:r>
          </w:p>
        </w:tc>
        <w:tc>
          <w:tcPr>
            <w:tcW w:w="2041" w:type="dxa"/>
          </w:tcPr>
          <w:p w14:paraId="413A8096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3.370.127</w:t>
            </w:r>
          </w:p>
        </w:tc>
        <w:tc>
          <w:tcPr>
            <w:tcW w:w="2041" w:type="dxa"/>
          </w:tcPr>
          <w:p w14:paraId="7C63BF6C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3.048.163</w:t>
            </w:r>
          </w:p>
        </w:tc>
        <w:tc>
          <w:tcPr>
            <w:tcW w:w="1224" w:type="dxa"/>
          </w:tcPr>
          <w:p w14:paraId="19B396A3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90,4</w:t>
            </w:r>
          </w:p>
        </w:tc>
        <w:tc>
          <w:tcPr>
            <w:tcW w:w="1224" w:type="dxa"/>
          </w:tcPr>
          <w:p w14:paraId="19A69D32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133,1</w:t>
            </w:r>
          </w:p>
        </w:tc>
      </w:tr>
    </w:tbl>
    <w:p w14:paraId="3A5E8D09" w14:textId="77777777" w:rsidR="00F231BA" w:rsidRDefault="00F231BA">
      <w:pPr>
        <w:jc w:val="left"/>
      </w:pPr>
    </w:p>
    <w:p w14:paraId="58555900" w14:textId="77777777" w:rsidR="00F231BA" w:rsidRDefault="00EF2986">
      <w:pPr>
        <w:pStyle w:val="Heading8"/>
        <w:jc w:val="left"/>
      </w:pPr>
      <w:r>
        <w:t>Zakonske i druge pravne osnove</w:t>
      </w:r>
    </w:p>
    <w:p w14:paraId="5D4440D2" w14:textId="77777777" w:rsidR="00F231BA" w:rsidRDefault="00EF2986">
      <w:r>
        <w:t xml:space="preserve">Zakon o osnivanju Agencije za ugljikovodike  </w:t>
      </w:r>
    </w:p>
    <w:p w14:paraId="1E77A0BE" w14:textId="77777777" w:rsidR="00F231BA" w:rsidRDefault="00EF2986">
      <w:r>
        <w:t xml:space="preserve">Zakon o plaćama u javnim službama  </w:t>
      </w:r>
    </w:p>
    <w:p w14:paraId="6E5E5470" w14:textId="77777777" w:rsidR="00F231BA" w:rsidRDefault="00EF2986">
      <w:r>
        <w:t>Temeljni kolektivni ugovor za javne službe</w:t>
      </w:r>
    </w:p>
    <w:p w14:paraId="33DA4E77" w14:textId="77777777" w:rsidR="00F231BA" w:rsidRDefault="00EF2986">
      <w:pPr>
        <w:pStyle w:val="Heading8"/>
        <w:jc w:val="left"/>
      </w:pPr>
      <w:r>
        <w:t>Opis aktivnosti</w:t>
      </w:r>
    </w:p>
    <w:p w14:paraId="5900F5C8" w14:textId="77777777" w:rsidR="00F231BA" w:rsidRDefault="00EF2986">
      <w:r>
        <w:t>Administracija i upravljanje uključuje rashode neophodne za provedbu djelatnosti i poslovanja Agencije za ugljikovodike, a sastoji se od obavljanja administrativnih i upravljačkih aktivnosti vezanih za svakodnevno funkcioniranje Agencije za ugljikovodike, odnosno na rashoda za zaposlene, materijalne rashode, rashode za energiju, uslugu telefona, tekućeg i investicijskog održavanja, usluge promidžbe i informiranja s ciljem privlačenja investicija u istraživanje i eksploataciju ugljikovodika. Izvršenje na ovo</w:t>
      </w:r>
      <w:r>
        <w:t>j aktivnosti nema značajnijih odstupanja u odnosu na 2023. godinu. Ostvareno je nešto veće izvršenje na skupinama konta rashoda za zaposlene i materijalnim rashodima zbog većeg broja zaposlenih, povećanja osnovice te godišnjeg povećanja od 0,05% za radni staž, te porasta materijalnih troškova dijelom zbog inflacije (uredski materijal, energija, telefonske i poštanske usluge, komunalne usluge, čišćenje), dok je izvršenje na skupinama konta financijskih rashoda te rashoda za nabavu proizvedene dugotrajne imov</w:t>
      </w:r>
      <w:r>
        <w:t>ine veće jer su u 2024. godini su nabavljena računala (stolna i prijenosna), te računalna oprema uslijed povećanja obujma poslova Agencije. Nabavljen je uredski namještaj i oprema (uredski stolovi i stolice) za novozaposlene.</w:t>
      </w:r>
    </w:p>
    <w:p w14:paraId="14E1EF99" w14:textId="77777777" w:rsidR="00F231BA" w:rsidRDefault="00EF2986">
      <w:pPr>
        <w:pStyle w:val="Heading4"/>
      </w:pPr>
      <w:r>
        <w:t>K919001 PROJEKTI ISTRAŽIVANJA I EKSPLOATACIJE UGLJIKOVODIKA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749"/>
        <w:gridCol w:w="2009"/>
        <w:gridCol w:w="2002"/>
        <w:gridCol w:w="2009"/>
        <w:gridCol w:w="1217"/>
        <w:gridCol w:w="1220"/>
      </w:tblGrid>
      <w:tr w:rsidR="00F231BA" w14:paraId="4B3105FD" w14:textId="77777777">
        <w:trPr>
          <w:jc w:val="center"/>
        </w:trPr>
        <w:tc>
          <w:tcPr>
            <w:tcW w:w="1632" w:type="dxa"/>
            <w:shd w:val="clear" w:color="auto" w:fill="B5C0D8"/>
          </w:tcPr>
          <w:p w14:paraId="3AB17050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Naziv aktivnosti</w:t>
            </w:r>
          </w:p>
        </w:tc>
        <w:tc>
          <w:tcPr>
            <w:tcW w:w="2041" w:type="dxa"/>
            <w:shd w:val="clear" w:color="auto" w:fill="B5C0D8"/>
          </w:tcPr>
          <w:p w14:paraId="442E7B96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Izvršenje 2023. (eur)</w:t>
            </w:r>
          </w:p>
        </w:tc>
        <w:tc>
          <w:tcPr>
            <w:tcW w:w="2041" w:type="dxa"/>
            <w:shd w:val="clear" w:color="auto" w:fill="B5C0D8"/>
          </w:tcPr>
          <w:p w14:paraId="4648111E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Plan 2024. (eur)</w:t>
            </w:r>
          </w:p>
        </w:tc>
        <w:tc>
          <w:tcPr>
            <w:tcW w:w="2041" w:type="dxa"/>
            <w:shd w:val="clear" w:color="auto" w:fill="B5C0D8"/>
          </w:tcPr>
          <w:p w14:paraId="55C58DC1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Izvršenje 2024. (eur)</w:t>
            </w:r>
          </w:p>
        </w:tc>
        <w:tc>
          <w:tcPr>
            <w:tcW w:w="1224" w:type="dxa"/>
            <w:shd w:val="clear" w:color="auto" w:fill="B5C0D8"/>
          </w:tcPr>
          <w:p w14:paraId="16DC077F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Indeks izvršenje 2024./plan 2024.</w:t>
            </w:r>
          </w:p>
        </w:tc>
        <w:tc>
          <w:tcPr>
            <w:tcW w:w="1224" w:type="dxa"/>
            <w:shd w:val="clear" w:color="auto" w:fill="B5C0D8"/>
          </w:tcPr>
          <w:p w14:paraId="12185993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Indeks izvršenje 2024./2023.</w:t>
            </w:r>
          </w:p>
        </w:tc>
      </w:tr>
      <w:tr w:rsidR="00F231BA" w14:paraId="6E47C003" w14:textId="77777777">
        <w:trPr>
          <w:jc w:val="center"/>
        </w:trPr>
        <w:tc>
          <w:tcPr>
            <w:tcW w:w="1632" w:type="dxa"/>
          </w:tcPr>
          <w:p w14:paraId="32BF8D7B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K919001-PROJEKTI ISTRAŽIVANJA I EKSPLOATACIJE UGLJIKOVODIKA</w:t>
            </w:r>
          </w:p>
        </w:tc>
        <w:tc>
          <w:tcPr>
            <w:tcW w:w="2041" w:type="dxa"/>
          </w:tcPr>
          <w:p w14:paraId="79A387F7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0</w:t>
            </w:r>
          </w:p>
        </w:tc>
        <w:tc>
          <w:tcPr>
            <w:tcW w:w="2041" w:type="dxa"/>
          </w:tcPr>
          <w:p w14:paraId="11A3F83C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0</w:t>
            </w:r>
          </w:p>
        </w:tc>
        <w:tc>
          <w:tcPr>
            <w:tcW w:w="2041" w:type="dxa"/>
          </w:tcPr>
          <w:p w14:paraId="5A76BFAE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0</w:t>
            </w:r>
          </w:p>
        </w:tc>
        <w:tc>
          <w:tcPr>
            <w:tcW w:w="1224" w:type="dxa"/>
          </w:tcPr>
          <w:p w14:paraId="18A464A8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0</w:t>
            </w:r>
          </w:p>
        </w:tc>
        <w:tc>
          <w:tcPr>
            <w:tcW w:w="1224" w:type="dxa"/>
          </w:tcPr>
          <w:p w14:paraId="75B650D4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0</w:t>
            </w:r>
          </w:p>
        </w:tc>
      </w:tr>
    </w:tbl>
    <w:p w14:paraId="519E1B9D" w14:textId="77777777" w:rsidR="00F231BA" w:rsidRDefault="00F231BA">
      <w:pPr>
        <w:jc w:val="left"/>
      </w:pPr>
    </w:p>
    <w:p w14:paraId="39963EDC" w14:textId="77777777" w:rsidR="00F231BA" w:rsidRDefault="00EF2986">
      <w:pPr>
        <w:pStyle w:val="Heading8"/>
        <w:jc w:val="left"/>
      </w:pPr>
      <w:r>
        <w:t>Zakonske i druge pravne osnove</w:t>
      </w:r>
    </w:p>
    <w:p w14:paraId="53F65C2E" w14:textId="77777777" w:rsidR="00F231BA" w:rsidRDefault="00EF2986">
      <w:r>
        <w:t>-</w:t>
      </w:r>
      <w:r>
        <w:tab/>
        <w:t xml:space="preserve">Zakon o osnivanju Agencije za ugljikovodike  </w:t>
      </w:r>
    </w:p>
    <w:p w14:paraId="2D3B3DE2" w14:textId="77777777" w:rsidR="00F231BA" w:rsidRDefault="00EF2986">
      <w:r>
        <w:t xml:space="preserve">- </w:t>
      </w:r>
      <w:r>
        <w:tab/>
        <w:t xml:space="preserve">Zakon o istraživanju i eksploataciji ugljikovodika  </w:t>
      </w:r>
    </w:p>
    <w:p w14:paraId="54C1D387" w14:textId="77777777" w:rsidR="00F231BA" w:rsidRDefault="00EF2986">
      <w:r>
        <w:t xml:space="preserve">- </w:t>
      </w:r>
      <w:r>
        <w:tab/>
        <w:t xml:space="preserve">Zakon o sigurnosti pri odobalnom istraživanju i eksploataciji ugljikovodika  </w:t>
      </w:r>
    </w:p>
    <w:p w14:paraId="2ADCC660" w14:textId="77777777" w:rsidR="00F231BA" w:rsidRDefault="00EF2986">
      <w:r>
        <w:t>-</w:t>
      </w:r>
      <w:r>
        <w:tab/>
        <w:t>Uredba o naknadi za istraživanje i eksploataciju ugljikovodika</w:t>
      </w:r>
    </w:p>
    <w:p w14:paraId="72B30CAA" w14:textId="77777777" w:rsidR="00F231BA" w:rsidRDefault="00EF2986">
      <w:pPr>
        <w:pStyle w:val="Heading8"/>
        <w:jc w:val="left"/>
      </w:pPr>
      <w:r>
        <w:t>Opis aktivnosti</w:t>
      </w:r>
    </w:p>
    <w:p w14:paraId="59F9D403" w14:textId="77777777" w:rsidR="00F231BA" w:rsidRDefault="00EF2986">
      <w:r>
        <w:t>Projekti istraživanja i eksploatacije ugljikovodika uključuju rashode potrebne za praćenje trendova i međunarodnih standarda istraživanja i eksploatacije ugljikovodika i osiguravanje njihove primjene, odobravanje i kontrolu godišnjih radnih programa i projekata za istraživanje i eksploataciju ugljikovodika, utvrđivanje troškova za istraživanje i eksploataciju ugljikovodika i ishođenje tehničke dokumentacije na eksploatacijskom polju, sudjelovanje u utvrđivanju elaborata o rezervama i provjeri projekata za i</w:t>
      </w:r>
      <w:r>
        <w:t>straživanje i eksploataciju ugljikovodika, kontrolu radova sukladno sklopljenim ugovorima za istraživanje i eksploataciju ugljikovodika kontrolu radova sukladno sklopljenim ugovorima za istraživanje i eksploataciju ugljikovodika. Projekti istraživanja i eksploatacije ugljikovodika uključuju praćenje izvršenja ugovora koje su investitori potpisali s Vladom Republike Hrvatske i odobravanje izvršenih radova i troškova vezanih uz izvršenje ugovora. Pokazatelji rezultata odnose se na praćenje izvršavanja radova,</w:t>
      </w:r>
      <w:r>
        <w:t xml:space="preserve"> utrošenih sredstava te odobravanja istih sukladno potpisanim ugovorima i aktivnostima vezanim uz naftno-rudarske radove, a koji se prate i odobravaju kroz kvartalna izvješća o radovima i troškovima. Smanjenje ostvarene vrijednosti odobrenih kvartalnih izvješća o radovima i troškovima investitora u skladu je sa poslovnom odlukom INA – industrije nafte o raskidu ugovora za istražni prostor ugljikovodika DI-14 tijekom 2023. godine, a nakon završetka I. faze istražnog razdoblja te trenutnom statusu ugovora za </w:t>
      </w:r>
      <w:r>
        <w:t>istražni prostor ugljikovodika DR-02.</w:t>
      </w:r>
    </w:p>
    <w:p w14:paraId="6047537A" w14:textId="77777777" w:rsidR="00F231BA" w:rsidRDefault="00EF2986">
      <w:pPr>
        <w:pStyle w:val="Heading8"/>
        <w:jc w:val="left"/>
      </w:pPr>
      <w:r>
        <w:lastRenderedPageBreak/>
        <w:t>Pokazatelji rezultata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2553"/>
        <w:gridCol w:w="2553"/>
        <w:gridCol w:w="1020"/>
        <w:gridCol w:w="1020"/>
        <w:gridCol w:w="1020"/>
        <w:gridCol w:w="1020"/>
        <w:gridCol w:w="1020"/>
      </w:tblGrid>
      <w:tr w:rsidR="00F231BA" w14:paraId="5844DF1A" w14:textId="77777777">
        <w:trPr>
          <w:jc w:val="center"/>
        </w:trPr>
        <w:tc>
          <w:tcPr>
            <w:tcW w:w="2551" w:type="dxa"/>
            <w:shd w:val="clear" w:color="auto" w:fill="B5C0D8"/>
          </w:tcPr>
          <w:p w14:paraId="2B5A47BD" w14:textId="77777777" w:rsidR="00F231BA" w:rsidRDefault="00EF2986">
            <w:pPr>
              <w:jc w:val="center"/>
            </w:pPr>
            <w:r>
              <w:t>Pokazatelj rezultata</w:t>
            </w:r>
          </w:p>
        </w:tc>
        <w:tc>
          <w:tcPr>
            <w:tcW w:w="2551" w:type="dxa"/>
            <w:shd w:val="clear" w:color="auto" w:fill="B5C0D8"/>
          </w:tcPr>
          <w:p w14:paraId="417EDE06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Definicija</w:t>
            </w:r>
          </w:p>
        </w:tc>
        <w:tc>
          <w:tcPr>
            <w:tcW w:w="1020" w:type="dxa"/>
            <w:shd w:val="clear" w:color="auto" w:fill="B5C0D8"/>
          </w:tcPr>
          <w:p w14:paraId="3B186725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Jedinica</w:t>
            </w:r>
          </w:p>
        </w:tc>
        <w:tc>
          <w:tcPr>
            <w:tcW w:w="1020" w:type="dxa"/>
            <w:shd w:val="clear" w:color="auto" w:fill="B5C0D8"/>
          </w:tcPr>
          <w:p w14:paraId="3239BD8D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Polazna vrijednost</w:t>
            </w:r>
          </w:p>
        </w:tc>
        <w:tc>
          <w:tcPr>
            <w:tcW w:w="1020" w:type="dxa"/>
            <w:shd w:val="clear" w:color="auto" w:fill="B5C0D8"/>
          </w:tcPr>
          <w:p w14:paraId="6C298C28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Izvor podataka</w:t>
            </w:r>
          </w:p>
        </w:tc>
        <w:tc>
          <w:tcPr>
            <w:tcW w:w="1020" w:type="dxa"/>
            <w:shd w:val="clear" w:color="auto" w:fill="B5C0D8"/>
          </w:tcPr>
          <w:p w14:paraId="10F2D4BE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(2024.)</w:t>
            </w:r>
          </w:p>
        </w:tc>
        <w:tc>
          <w:tcPr>
            <w:tcW w:w="1020" w:type="dxa"/>
            <w:shd w:val="clear" w:color="auto" w:fill="B5C0D8"/>
          </w:tcPr>
          <w:p w14:paraId="4ED83A64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Ostvarena vrijednost (2024.)</w:t>
            </w:r>
          </w:p>
        </w:tc>
      </w:tr>
      <w:tr w:rsidR="00F231BA" w14:paraId="607D1D3A" w14:textId="77777777">
        <w:trPr>
          <w:jc w:val="center"/>
        </w:trPr>
        <w:tc>
          <w:tcPr>
            <w:tcW w:w="2551" w:type="dxa"/>
          </w:tcPr>
          <w:p w14:paraId="652FBAF0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Broj odobrenih radnih programa</w:t>
            </w:r>
          </w:p>
        </w:tc>
        <w:tc>
          <w:tcPr>
            <w:tcW w:w="2551" w:type="dxa"/>
          </w:tcPr>
          <w:p w14:paraId="732388DD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Odobravanje radnih programa i budžeta te plaćanja naknada za istraživanje i eksploataciju ugljikovodika</w:t>
            </w:r>
          </w:p>
        </w:tc>
        <w:tc>
          <w:tcPr>
            <w:tcW w:w="1020" w:type="dxa"/>
          </w:tcPr>
          <w:p w14:paraId="354673E8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kom</w:t>
            </w:r>
          </w:p>
        </w:tc>
        <w:tc>
          <w:tcPr>
            <w:tcW w:w="1020" w:type="dxa"/>
          </w:tcPr>
          <w:p w14:paraId="6AD95B3A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7</w:t>
            </w:r>
          </w:p>
        </w:tc>
        <w:tc>
          <w:tcPr>
            <w:tcW w:w="1020" w:type="dxa"/>
          </w:tcPr>
          <w:p w14:paraId="2F8DB902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AZU</w:t>
            </w:r>
          </w:p>
        </w:tc>
        <w:tc>
          <w:tcPr>
            <w:tcW w:w="1020" w:type="dxa"/>
          </w:tcPr>
          <w:p w14:paraId="6AFF3BCB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7</w:t>
            </w:r>
          </w:p>
        </w:tc>
        <w:tc>
          <w:tcPr>
            <w:tcW w:w="1020" w:type="dxa"/>
          </w:tcPr>
          <w:p w14:paraId="5CA5D22E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7</w:t>
            </w:r>
          </w:p>
        </w:tc>
      </w:tr>
      <w:tr w:rsidR="00F231BA" w14:paraId="6C10DD4C" w14:textId="77777777">
        <w:trPr>
          <w:jc w:val="center"/>
        </w:trPr>
        <w:tc>
          <w:tcPr>
            <w:tcW w:w="2551" w:type="dxa"/>
          </w:tcPr>
          <w:p w14:paraId="3AD73734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Broj odobrenih kvartalnih izvješća o radovima i kvartalnih izvješća o troškovima investitora</w:t>
            </w:r>
          </w:p>
        </w:tc>
        <w:tc>
          <w:tcPr>
            <w:tcW w:w="2551" w:type="dxa"/>
          </w:tcPr>
          <w:p w14:paraId="6D6D8667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Ažurna kontrola i odobravanje svih zaprimljenih troškova od strane investitora sukladno sklopljenim ugovorima, a koji se priznaju prilikom povrata troškova</w:t>
            </w:r>
          </w:p>
        </w:tc>
        <w:tc>
          <w:tcPr>
            <w:tcW w:w="1020" w:type="dxa"/>
          </w:tcPr>
          <w:p w14:paraId="1DCA0652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kom</w:t>
            </w:r>
          </w:p>
        </w:tc>
        <w:tc>
          <w:tcPr>
            <w:tcW w:w="1020" w:type="dxa"/>
          </w:tcPr>
          <w:p w14:paraId="6A6136A7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28</w:t>
            </w:r>
          </w:p>
        </w:tc>
        <w:tc>
          <w:tcPr>
            <w:tcW w:w="1020" w:type="dxa"/>
          </w:tcPr>
          <w:p w14:paraId="2E7A8DB8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AZU</w:t>
            </w:r>
          </w:p>
        </w:tc>
        <w:tc>
          <w:tcPr>
            <w:tcW w:w="1020" w:type="dxa"/>
          </w:tcPr>
          <w:p w14:paraId="2E9B98A6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28</w:t>
            </w:r>
          </w:p>
        </w:tc>
        <w:tc>
          <w:tcPr>
            <w:tcW w:w="1020" w:type="dxa"/>
          </w:tcPr>
          <w:p w14:paraId="223BD2C0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21</w:t>
            </w:r>
          </w:p>
        </w:tc>
      </w:tr>
      <w:tr w:rsidR="00F231BA" w14:paraId="02EA5DDC" w14:textId="77777777">
        <w:trPr>
          <w:jc w:val="center"/>
        </w:trPr>
        <w:tc>
          <w:tcPr>
            <w:tcW w:w="2551" w:type="dxa"/>
          </w:tcPr>
          <w:p w14:paraId="5E06ACBC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Kontrola plaćanja naknada za istraživanje i eksploataciju ugljikovodika</w:t>
            </w:r>
          </w:p>
        </w:tc>
        <w:tc>
          <w:tcPr>
            <w:tcW w:w="2551" w:type="dxa"/>
          </w:tcPr>
          <w:p w14:paraId="411D9984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Ažurno vođenje evidencije o naplati naknada za istraživanje i eksploataciju ugljikovodika i naplata istih</w:t>
            </w:r>
          </w:p>
        </w:tc>
        <w:tc>
          <w:tcPr>
            <w:tcW w:w="1020" w:type="dxa"/>
          </w:tcPr>
          <w:p w14:paraId="2797220A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kom</w:t>
            </w:r>
          </w:p>
        </w:tc>
        <w:tc>
          <w:tcPr>
            <w:tcW w:w="1020" w:type="dxa"/>
          </w:tcPr>
          <w:p w14:paraId="6C019F3D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7</w:t>
            </w:r>
          </w:p>
        </w:tc>
        <w:tc>
          <w:tcPr>
            <w:tcW w:w="1020" w:type="dxa"/>
          </w:tcPr>
          <w:p w14:paraId="1546DD8D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AZU</w:t>
            </w:r>
          </w:p>
        </w:tc>
        <w:tc>
          <w:tcPr>
            <w:tcW w:w="1020" w:type="dxa"/>
          </w:tcPr>
          <w:p w14:paraId="5AAE1D66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7</w:t>
            </w:r>
          </w:p>
        </w:tc>
        <w:tc>
          <w:tcPr>
            <w:tcW w:w="1020" w:type="dxa"/>
          </w:tcPr>
          <w:p w14:paraId="64AAAE37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7</w:t>
            </w:r>
          </w:p>
        </w:tc>
      </w:tr>
    </w:tbl>
    <w:p w14:paraId="741F6748" w14:textId="77777777" w:rsidR="00F231BA" w:rsidRDefault="00F231BA">
      <w:pPr>
        <w:jc w:val="left"/>
      </w:pPr>
    </w:p>
    <w:p w14:paraId="73CA355C" w14:textId="77777777" w:rsidR="00F231BA" w:rsidRDefault="00EF2986">
      <w:pPr>
        <w:pStyle w:val="Heading4"/>
      </w:pPr>
      <w:r>
        <w:t>K919004 FORMIRANJE, SKLADIŠTENJE I UPRAVLJANJE OBVEZNIM ZALIHAMA NAFTE I NAFTNIM DERIVATIMA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632"/>
        <w:gridCol w:w="2042"/>
        <w:gridCol w:w="2042"/>
        <w:gridCol w:w="2042"/>
        <w:gridCol w:w="1224"/>
        <w:gridCol w:w="1224"/>
      </w:tblGrid>
      <w:tr w:rsidR="00F231BA" w14:paraId="0C46A448" w14:textId="77777777">
        <w:trPr>
          <w:jc w:val="center"/>
        </w:trPr>
        <w:tc>
          <w:tcPr>
            <w:tcW w:w="1632" w:type="dxa"/>
            <w:shd w:val="clear" w:color="auto" w:fill="B5C0D8"/>
          </w:tcPr>
          <w:p w14:paraId="2F6DF319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Naziv aktivnosti</w:t>
            </w:r>
          </w:p>
        </w:tc>
        <w:tc>
          <w:tcPr>
            <w:tcW w:w="2041" w:type="dxa"/>
            <w:shd w:val="clear" w:color="auto" w:fill="B5C0D8"/>
          </w:tcPr>
          <w:p w14:paraId="2813D67B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Izvršenje 2023. (eur)</w:t>
            </w:r>
          </w:p>
        </w:tc>
        <w:tc>
          <w:tcPr>
            <w:tcW w:w="2041" w:type="dxa"/>
            <w:shd w:val="clear" w:color="auto" w:fill="B5C0D8"/>
          </w:tcPr>
          <w:p w14:paraId="1C1802B4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Plan 2024. (eur)</w:t>
            </w:r>
          </w:p>
        </w:tc>
        <w:tc>
          <w:tcPr>
            <w:tcW w:w="2041" w:type="dxa"/>
            <w:shd w:val="clear" w:color="auto" w:fill="B5C0D8"/>
          </w:tcPr>
          <w:p w14:paraId="602C7AF2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Izvršenje 2024. (eur)</w:t>
            </w:r>
          </w:p>
        </w:tc>
        <w:tc>
          <w:tcPr>
            <w:tcW w:w="1224" w:type="dxa"/>
            <w:shd w:val="clear" w:color="auto" w:fill="B5C0D8"/>
          </w:tcPr>
          <w:p w14:paraId="257581AA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Indeks izvršenje 2024./plan 2024.</w:t>
            </w:r>
          </w:p>
        </w:tc>
        <w:tc>
          <w:tcPr>
            <w:tcW w:w="1224" w:type="dxa"/>
            <w:shd w:val="clear" w:color="auto" w:fill="B5C0D8"/>
          </w:tcPr>
          <w:p w14:paraId="27FC11E1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Indeks izvršenje 2024./2023.</w:t>
            </w:r>
          </w:p>
        </w:tc>
      </w:tr>
      <w:tr w:rsidR="00F231BA" w14:paraId="440F7A88" w14:textId="77777777">
        <w:trPr>
          <w:jc w:val="center"/>
        </w:trPr>
        <w:tc>
          <w:tcPr>
            <w:tcW w:w="1632" w:type="dxa"/>
          </w:tcPr>
          <w:p w14:paraId="0D1912D6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K919004-FORMIRANJE, SKLADIŠTENJE I UPRAVLJANJE OBVEZNIM ZALIHAMA NAFTE I NAFTNIM DERIVATIMA</w:t>
            </w:r>
          </w:p>
        </w:tc>
        <w:tc>
          <w:tcPr>
            <w:tcW w:w="2041" w:type="dxa"/>
          </w:tcPr>
          <w:p w14:paraId="15F44375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56.230.764</w:t>
            </w:r>
          </w:p>
        </w:tc>
        <w:tc>
          <w:tcPr>
            <w:tcW w:w="2041" w:type="dxa"/>
          </w:tcPr>
          <w:p w14:paraId="56CC9D52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91.361.310</w:t>
            </w:r>
          </w:p>
        </w:tc>
        <w:tc>
          <w:tcPr>
            <w:tcW w:w="2041" w:type="dxa"/>
          </w:tcPr>
          <w:p w14:paraId="02BC2703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96.577.190</w:t>
            </w:r>
          </w:p>
        </w:tc>
        <w:tc>
          <w:tcPr>
            <w:tcW w:w="1224" w:type="dxa"/>
          </w:tcPr>
          <w:p w14:paraId="073157DD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105,7</w:t>
            </w:r>
          </w:p>
        </w:tc>
        <w:tc>
          <w:tcPr>
            <w:tcW w:w="1224" w:type="dxa"/>
          </w:tcPr>
          <w:p w14:paraId="0B046E7D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171,8</w:t>
            </w:r>
          </w:p>
        </w:tc>
      </w:tr>
    </w:tbl>
    <w:p w14:paraId="20DC88C8" w14:textId="77777777" w:rsidR="00F231BA" w:rsidRDefault="00F231BA">
      <w:pPr>
        <w:jc w:val="left"/>
      </w:pPr>
    </w:p>
    <w:p w14:paraId="47781747" w14:textId="77777777" w:rsidR="00F231BA" w:rsidRDefault="00EF2986">
      <w:pPr>
        <w:pStyle w:val="Heading8"/>
        <w:jc w:val="left"/>
      </w:pPr>
      <w:r>
        <w:t>Zakonske i druge pravne osnove</w:t>
      </w:r>
    </w:p>
    <w:p w14:paraId="6521E897" w14:textId="77777777" w:rsidR="00F231BA" w:rsidRDefault="00EF2986">
      <w:r>
        <w:t xml:space="preserve">Direktiva 2009/119/EZ   </w:t>
      </w:r>
    </w:p>
    <w:p w14:paraId="60E4D4FA" w14:textId="77777777" w:rsidR="00F231BA" w:rsidRDefault="00EF2986">
      <w:r>
        <w:t>Zakon o osnivanju Agencije za ugljikovodike</w:t>
      </w:r>
    </w:p>
    <w:p w14:paraId="45CB58C8" w14:textId="77777777" w:rsidR="00F231BA" w:rsidRDefault="00EF2986">
      <w:pPr>
        <w:pStyle w:val="Heading8"/>
        <w:jc w:val="left"/>
      </w:pPr>
      <w:r>
        <w:t>Opis aktivnosti</w:t>
      </w:r>
    </w:p>
    <w:p w14:paraId="2519C1F5" w14:textId="77777777" w:rsidR="00F231BA" w:rsidRDefault="00EF2986">
      <w:r>
        <w:t>Sukladno zahtjevima pravnog okvira Europske unije, Agencija za ugljikovodike formira, održava, kontrolira i zanavlja obvezne zalihe nafte i naftnih derivata te provodi ostale nužne preduvjete za djelovanje po tržišnim principima kao energetski subjekt, i to bez narušavanja konkurentnosti na tržištu nafte i naftnih derivata i energije. Obvezne zalihe nafte i naftnih derivata skladište se u carinskim i trošarinskim skladištima gotovim proizvodima, sirovoj nafti i u nematerijalnom obliku (ugovorima o opcijskoj</w:t>
      </w:r>
      <w:r>
        <w:t xml:space="preserve"> kupnji robe) po unaprijed utvrđenim kriterijima za određeno vremensko razdoblje.  Obvezne zalihe nafte i naftnih derivata formiraju se najmanje u količini od 90 dana prosječnog dnevnog neto uvoza ili 61 dan prosječne dnevne domaće potrošnje naftnih derivata u prethodnoj kalendarskoj godini, ovisno o tome koja je količina veća, a na temelju podataka Državnog statističkog zavoda.  </w:t>
      </w:r>
    </w:p>
    <w:p w14:paraId="68328A8D" w14:textId="77777777" w:rsidR="00F231BA" w:rsidRDefault="00EF2986">
      <w:r>
        <w:t xml:space="preserve">Ukupno izvršenje navedene aktivnosti je značajno veće u odnosu na prethodnu godinu, kako na izvršenju iz izvora 71, tako i na izvoru 11 u odnosu na 2023. godinu. </w:t>
      </w:r>
    </w:p>
    <w:p w14:paraId="75FA260D" w14:textId="77777777" w:rsidR="00F231BA" w:rsidRDefault="00EF2986">
      <w:r>
        <w:lastRenderedPageBreak/>
        <w:t>U 2024. godini su provedena zanavljanja derivata u količini od 41.000 tona, od čega je do kraja godine vraćeno 24.500 tona, a preostali dio će se vratiti u prvom kvartalu 2025. godine. Također u 2024. godini prodano je 13.000 tona motornih benzina te je kupljeno 14.500 tona dizelskog goriva.</w:t>
      </w:r>
    </w:p>
    <w:p w14:paraId="1892B0F8" w14:textId="77777777" w:rsidR="00F231BA" w:rsidRDefault="00EF2986">
      <w:pPr>
        <w:pStyle w:val="Heading8"/>
        <w:jc w:val="left"/>
      </w:pPr>
      <w:r>
        <w:t>Pokazatelji rezultata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2553"/>
        <w:gridCol w:w="2553"/>
        <w:gridCol w:w="1020"/>
        <w:gridCol w:w="1020"/>
        <w:gridCol w:w="1020"/>
        <w:gridCol w:w="1020"/>
        <w:gridCol w:w="1020"/>
      </w:tblGrid>
      <w:tr w:rsidR="00F231BA" w14:paraId="4B5743E3" w14:textId="77777777">
        <w:trPr>
          <w:jc w:val="center"/>
        </w:trPr>
        <w:tc>
          <w:tcPr>
            <w:tcW w:w="2551" w:type="dxa"/>
            <w:shd w:val="clear" w:color="auto" w:fill="B5C0D8"/>
          </w:tcPr>
          <w:p w14:paraId="4E9BD177" w14:textId="77777777" w:rsidR="00F231BA" w:rsidRDefault="00EF2986">
            <w:pPr>
              <w:jc w:val="center"/>
            </w:pPr>
            <w:r>
              <w:t>Pokazatelj rezultata</w:t>
            </w:r>
          </w:p>
        </w:tc>
        <w:tc>
          <w:tcPr>
            <w:tcW w:w="2551" w:type="dxa"/>
            <w:shd w:val="clear" w:color="auto" w:fill="B5C0D8"/>
          </w:tcPr>
          <w:p w14:paraId="4ABFA4FC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Definicija</w:t>
            </w:r>
          </w:p>
        </w:tc>
        <w:tc>
          <w:tcPr>
            <w:tcW w:w="1020" w:type="dxa"/>
            <w:shd w:val="clear" w:color="auto" w:fill="B5C0D8"/>
          </w:tcPr>
          <w:p w14:paraId="352940D2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Jedinica</w:t>
            </w:r>
          </w:p>
        </w:tc>
        <w:tc>
          <w:tcPr>
            <w:tcW w:w="1020" w:type="dxa"/>
            <w:shd w:val="clear" w:color="auto" w:fill="B5C0D8"/>
          </w:tcPr>
          <w:p w14:paraId="0AA89A00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Polazna vrijednost</w:t>
            </w:r>
          </w:p>
        </w:tc>
        <w:tc>
          <w:tcPr>
            <w:tcW w:w="1020" w:type="dxa"/>
            <w:shd w:val="clear" w:color="auto" w:fill="B5C0D8"/>
          </w:tcPr>
          <w:p w14:paraId="0128A016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Izvor podataka</w:t>
            </w:r>
          </w:p>
        </w:tc>
        <w:tc>
          <w:tcPr>
            <w:tcW w:w="1020" w:type="dxa"/>
            <w:shd w:val="clear" w:color="auto" w:fill="B5C0D8"/>
          </w:tcPr>
          <w:p w14:paraId="0E92144F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(2024.)</w:t>
            </w:r>
          </w:p>
        </w:tc>
        <w:tc>
          <w:tcPr>
            <w:tcW w:w="1020" w:type="dxa"/>
            <w:shd w:val="clear" w:color="auto" w:fill="B5C0D8"/>
          </w:tcPr>
          <w:p w14:paraId="1521C38A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Ostvarena vrijednost (2024.)</w:t>
            </w:r>
          </w:p>
        </w:tc>
      </w:tr>
      <w:tr w:rsidR="00F231BA" w14:paraId="10AD4E8E" w14:textId="77777777">
        <w:trPr>
          <w:jc w:val="center"/>
        </w:trPr>
        <w:tc>
          <w:tcPr>
            <w:tcW w:w="2551" w:type="dxa"/>
          </w:tcPr>
          <w:p w14:paraId="6DD426E1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Količina nabavljene nafte i naftnih derivata</w:t>
            </w:r>
          </w:p>
        </w:tc>
        <w:tc>
          <w:tcPr>
            <w:tcW w:w="2551" w:type="dxa"/>
          </w:tcPr>
          <w:p w14:paraId="7EE46BF0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Formirane i uskladištene obvezne zalihe nafte i naftnih derivata u količini i strukturi određenoj važećim pravnim propisima</w:t>
            </w:r>
          </w:p>
        </w:tc>
        <w:tc>
          <w:tcPr>
            <w:tcW w:w="1020" w:type="dxa"/>
          </w:tcPr>
          <w:p w14:paraId="1C0DCD1A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tona</w:t>
            </w:r>
          </w:p>
        </w:tc>
        <w:tc>
          <w:tcPr>
            <w:tcW w:w="1020" w:type="dxa"/>
          </w:tcPr>
          <w:p w14:paraId="58821C1C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637000</w:t>
            </w:r>
          </w:p>
        </w:tc>
        <w:tc>
          <w:tcPr>
            <w:tcW w:w="1020" w:type="dxa"/>
          </w:tcPr>
          <w:p w14:paraId="127D4AD2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AZU</w:t>
            </w:r>
          </w:p>
        </w:tc>
        <w:tc>
          <w:tcPr>
            <w:tcW w:w="1020" w:type="dxa"/>
          </w:tcPr>
          <w:p w14:paraId="6BAC1C4C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650.000</w:t>
            </w:r>
          </w:p>
        </w:tc>
        <w:tc>
          <w:tcPr>
            <w:tcW w:w="1020" w:type="dxa"/>
          </w:tcPr>
          <w:p w14:paraId="44C690C9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635749</w:t>
            </w:r>
          </w:p>
        </w:tc>
      </w:tr>
      <w:tr w:rsidR="00F231BA" w14:paraId="54924F4A" w14:textId="77777777">
        <w:trPr>
          <w:jc w:val="center"/>
        </w:trPr>
        <w:tc>
          <w:tcPr>
            <w:tcW w:w="2551" w:type="dxa"/>
          </w:tcPr>
          <w:p w14:paraId="63AB67C3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Količina zanovljene nafte i naftnih derivata</w:t>
            </w:r>
          </w:p>
        </w:tc>
        <w:tc>
          <w:tcPr>
            <w:tcW w:w="2551" w:type="dxa"/>
          </w:tcPr>
          <w:p w14:paraId="41B89D4C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Zanavljanje zaliha uzajamnom kupoprodajom</w:t>
            </w:r>
          </w:p>
        </w:tc>
        <w:tc>
          <w:tcPr>
            <w:tcW w:w="1020" w:type="dxa"/>
          </w:tcPr>
          <w:p w14:paraId="6277574E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tona</w:t>
            </w:r>
          </w:p>
        </w:tc>
        <w:tc>
          <w:tcPr>
            <w:tcW w:w="1020" w:type="dxa"/>
          </w:tcPr>
          <w:p w14:paraId="175D3E5B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40000</w:t>
            </w:r>
          </w:p>
        </w:tc>
        <w:tc>
          <w:tcPr>
            <w:tcW w:w="1020" w:type="dxa"/>
          </w:tcPr>
          <w:p w14:paraId="6F2DD590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AZU</w:t>
            </w:r>
          </w:p>
        </w:tc>
        <w:tc>
          <w:tcPr>
            <w:tcW w:w="1020" w:type="dxa"/>
          </w:tcPr>
          <w:p w14:paraId="4C66F178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40.000</w:t>
            </w:r>
          </w:p>
        </w:tc>
        <w:tc>
          <w:tcPr>
            <w:tcW w:w="1020" w:type="dxa"/>
          </w:tcPr>
          <w:p w14:paraId="244A61AF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14200</w:t>
            </w:r>
          </w:p>
        </w:tc>
      </w:tr>
      <w:tr w:rsidR="00F231BA" w14:paraId="6F570FDC" w14:textId="77777777">
        <w:trPr>
          <w:jc w:val="center"/>
        </w:trPr>
        <w:tc>
          <w:tcPr>
            <w:tcW w:w="2551" w:type="dxa"/>
          </w:tcPr>
          <w:p w14:paraId="0BF8A61F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Skladišni prostor osiguran ugovorom o najmu</w:t>
            </w:r>
          </w:p>
        </w:tc>
        <w:tc>
          <w:tcPr>
            <w:tcW w:w="2551" w:type="dxa"/>
          </w:tcPr>
          <w:p w14:paraId="5D09BDBD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Sklopljeni dugoročni ugovori o najmu skladišnog prostora</w:t>
            </w:r>
          </w:p>
        </w:tc>
        <w:tc>
          <w:tcPr>
            <w:tcW w:w="1020" w:type="dxa"/>
          </w:tcPr>
          <w:p w14:paraId="59C0EAA1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m3</w:t>
            </w:r>
          </w:p>
        </w:tc>
        <w:tc>
          <w:tcPr>
            <w:tcW w:w="1020" w:type="dxa"/>
          </w:tcPr>
          <w:p w14:paraId="58F5FCB3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759000</w:t>
            </w:r>
          </w:p>
        </w:tc>
        <w:tc>
          <w:tcPr>
            <w:tcW w:w="1020" w:type="dxa"/>
          </w:tcPr>
          <w:p w14:paraId="6FEC538A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AZU</w:t>
            </w:r>
          </w:p>
        </w:tc>
        <w:tc>
          <w:tcPr>
            <w:tcW w:w="1020" w:type="dxa"/>
          </w:tcPr>
          <w:p w14:paraId="584DC047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770.000</w:t>
            </w:r>
          </w:p>
        </w:tc>
        <w:tc>
          <w:tcPr>
            <w:tcW w:w="1020" w:type="dxa"/>
          </w:tcPr>
          <w:p w14:paraId="39D65A68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763200</w:t>
            </w:r>
          </w:p>
        </w:tc>
      </w:tr>
      <w:tr w:rsidR="00F231BA" w14:paraId="1EF65666" w14:textId="77777777">
        <w:trPr>
          <w:jc w:val="center"/>
        </w:trPr>
        <w:tc>
          <w:tcPr>
            <w:tcW w:w="2551" w:type="dxa"/>
          </w:tcPr>
          <w:p w14:paraId="7A086115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Broj obavljenih kontrola kvalitete i mjerenja količine</w:t>
            </w:r>
          </w:p>
        </w:tc>
        <w:tc>
          <w:tcPr>
            <w:tcW w:w="2551" w:type="dxa"/>
          </w:tcPr>
          <w:p w14:paraId="2E814DB4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Kontrola količine i kvalitete nafte i naftnih derivata</w:t>
            </w:r>
          </w:p>
        </w:tc>
        <w:tc>
          <w:tcPr>
            <w:tcW w:w="1020" w:type="dxa"/>
          </w:tcPr>
          <w:p w14:paraId="318EBB99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kom</w:t>
            </w:r>
          </w:p>
        </w:tc>
        <w:tc>
          <w:tcPr>
            <w:tcW w:w="1020" w:type="dxa"/>
          </w:tcPr>
          <w:p w14:paraId="4BBFA1D1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4</w:t>
            </w:r>
          </w:p>
        </w:tc>
        <w:tc>
          <w:tcPr>
            <w:tcW w:w="1020" w:type="dxa"/>
          </w:tcPr>
          <w:p w14:paraId="11AFA279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AZU</w:t>
            </w:r>
          </w:p>
        </w:tc>
        <w:tc>
          <w:tcPr>
            <w:tcW w:w="1020" w:type="dxa"/>
          </w:tcPr>
          <w:p w14:paraId="19F8C3BE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4</w:t>
            </w:r>
          </w:p>
        </w:tc>
        <w:tc>
          <w:tcPr>
            <w:tcW w:w="1020" w:type="dxa"/>
          </w:tcPr>
          <w:p w14:paraId="777A03F2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4</w:t>
            </w:r>
          </w:p>
        </w:tc>
      </w:tr>
    </w:tbl>
    <w:p w14:paraId="6B5D47B7" w14:textId="77777777" w:rsidR="00F231BA" w:rsidRDefault="00F231BA">
      <w:pPr>
        <w:jc w:val="left"/>
      </w:pPr>
    </w:p>
    <w:p w14:paraId="74952E50" w14:textId="77777777" w:rsidR="00F231BA" w:rsidRDefault="00EF2986">
      <w:pPr>
        <w:pStyle w:val="Heading4"/>
      </w:pPr>
      <w:r>
        <w:t>K919005 INFORMATIZACIJA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914"/>
        <w:gridCol w:w="1961"/>
        <w:gridCol w:w="1949"/>
        <w:gridCol w:w="1961"/>
        <w:gridCol w:w="1207"/>
        <w:gridCol w:w="1214"/>
      </w:tblGrid>
      <w:tr w:rsidR="00F231BA" w14:paraId="6CC51396" w14:textId="77777777">
        <w:trPr>
          <w:jc w:val="center"/>
        </w:trPr>
        <w:tc>
          <w:tcPr>
            <w:tcW w:w="1632" w:type="dxa"/>
            <w:shd w:val="clear" w:color="auto" w:fill="B5C0D8"/>
          </w:tcPr>
          <w:p w14:paraId="1A1EB690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Naziv aktivnosti</w:t>
            </w:r>
          </w:p>
        </w:tc>
        <w:tc>
          <w:tcPr>
            <w:tcW w:w="2041" w:type="dxa"/>
            <w:shd w:val="clear" w:color="auto" w:fill="B5C0D8"/>
          </w:tcPr>
          <w:p w14:paraId="274E83C3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Izvršenje 2023. (eur)</w:t>
            </w:r>
          </w:p>
        </w:tc>
        <w:tc>
          <w:tcPr>
            <w:tcW w:w="2041" w:type="dxa"/>
            <w:shd w:val="clear" w:color="auto" w:fill="B5C0D8"/>
          </w:tcPr>
          <w:p w14:paraId="0A219454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Plan 2024. (eur)</w:t>
            </w:r>
          </w:p>
        </w:tc>
        <w:tc>
          <w:tcPr>
            <w:tcW w:w="2041" w:type="dxa"/>
            <w:shd w:val="clear" w:color="auto" w:fill="B5C0D8"/>
          </w:tcPr>
          <w:p w14:paraId="45440EBE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Izvršenje 2024. (eur)</w:t>
            </w:r>
          </w:p>
        </w:tc>
        <w:tc>
          <w:tcPr>
            <w:tcW w:w="1224" w:type="dxa"/>
            <w:shd w:val="clear" w:color="auto" w:fill="B5C0D8"/>
          </w:tcPr>
          <w:p w14:paraId="5EF659A7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Indeks izvršenje 2024./plan 2024.</w:t>
            </w:r>
          </w:p>
        </w:tc>
        <w:tc>
          <w:tcPr>
            <w:tcW w:w="1224" w:type="dxa"/>
            <w:shd w:val="clear" w:color="auto" w:fill="B5C0D8"/>
          </w:tcPr>
          <w:p w14:paraId="2BDA3236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Indeks izvršenje 2024./2023.</w:t>
            </w:r>
          </w:p>
        </w:tc>
      </w:tr>
      <w:tr w:rsidR="00F231BA" w14:paraId="100CDF10" w14:textId="77777777">
        <w:trPr>
          <w:jc w:val="center"/>
        </w:trPr>
        <w:tc>
          <w:tcPr>
            <w:tcW w:w="1632" w:type="dxa"/>
          </w:tcPr>
          <w:p w14:paraId="5F8D56C1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K919005-INFORMATIZACIJA</w:t>
            </w:r>
          </w:p>
        </w:tc>
        <w:tc>
          <w:tcPr>
            <w:tcW w:w="2041" w:type="dxa"/>
          </w:tcPr>
          <w:p w14:paraId="4C460E4B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13.473</w:t>
            </w:r>
          </w:p>
        </w:tc>
        <w:tc>
          <w:tcPr>
            <w:tcW w:w="2041" w:type="dxa"/>
          </w:tcPr>
          <w:p w14:paraId="369F2777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54.000</w:t>
            </w:r>
          </w:p>
        </w:tc>
        <w:tc>
          <w:tcPr>
            <w:tcW w:w="2041" w:type="dxa"/>
          </w:tcPr>
          <w:p w14:paraId="12B9E05E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37.995</w:t>
            </w:r>
          </w:p>
        </w:tc>
        <w:tc>
          <w:tcPr>
            <w:tcW w:w="1224" w:type="dxa"/>
          </w:tcPr>
          <w:p w14:paraId="7FE12B58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70,4</w:t>
            </w:r>
          </w:p>
        </w:tc>
        <w:tc>
          <w:tcPr>
            <w:tcW w:w="1224" w:type="dxa"/>
          </w:tcPr>
          <w:p w14:paraId="7C48CDD2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282,0</w:t>
            </w:r>
          </w:p>
        </w:tc>
      </w:tr>
    </w:tbl>
    <w:p w14:paraId="58D62055" w14:textId="77777777" w:rsidR="00F231BA" w:rsidRDefault="00F231BA">
      <w:pPr>
        <w:jc w:val="left"/>
      </w:pPr>
    </w:p>
    <w:p w14:paraId="29A34D93" w14:textId="77777777" w:rsidR="00F231BA" w:rsidRDefault="00EF2986">
      <w:pPr>
        <w:pStyle w:val="Heading8"/>
        <w:jc w:val="left"/>
      </w:pPr>
      <w:r>
        <w:t>Zakonske i druge pravne osnove</w:t>
      </w:r>
    </w:p>
    <w:p w14:paraId="78E3BB11" w14:textId="77777777" w:rsidR="00F231BA" w:rsidRDefault="00EF2986">
      <w:r>
        <w:t>Zakon o osnivanju Agencije za ugljikovodike</w:t>
      </w:r>
    </w:p>
    <w:p w14:paraId="538C83FE" w14:textId="77777777" w:rsidR="00F231BA" w:rsidRDefault="00EF2986">
      <w:pPr>
        <w:pStyle w:val="Heading8"/>
        <w:jc w:val="left"/>
      </w:pPr>
      <w:r>
        <w:t>Opis aktivnosti</w:t>
      </w:r>
    </w:p>
    <w:p w14:paraId="50B09B30" w14:textId="77777777" w:rsidR="00F231BA" w:rsidRDefault="00EF2986">
      <w:r>
        <w:t>U 2024. godini rashodi vezani za informatizaciju su veći u odnosu na prethodnu 2023. godinu budući da su nabavljane licence za Microsoft Windows, kao i održavanje EarthPAK Perp licence. Značajan dio rashoda se odnosio na nabavku komunikacijskih uređaja (službeni mobiteli), budući je potpisan novi dvogodišnji ugovor s teleoperaterom. Za potrebe nadzora nad izvršenjem geotermalnih bušotina, kao i ostalih poslova iz djelokruga Agencije nabavljena je dodatna komunikacijska oprema (dron).</w:t>
      </w:r>
    </w:p>
    <w:p w14:paraId="223E5A34" w14:textId="77777777" w:rsidR="00F231BA" w:rsidRDefault="00EF2986">
      <w:pPr>
        <w:pStyle w:val="Heading4"/>
      </w:pPr>
      <w:r>
        <w:t>K919006 GEOTERMALNI PROJEKTI-NPOO.C1.2.R1-I2.02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632"/>
        <w:gridCol w:w="2042"/>
        <w:gridCol w:w="2042"/>
        <w:gridCol w:w="2042"/>
        <w:gridCol w:w="1224"/>
        <w:gridCol w:w="1224"/>
      </w:tblGrid>
      <w:tr w:rsidR="00F231BA" w14:paraId="7AE6A53C" w14:textId="77777777">
        <w:trPr>
          <w:jc w:val="center"/>
        </w:trPr>
        <w:tc>
          <w:tcPr>
            <w:tcW w:w="1632" w:type="dxa"/>
            <w:shd w:val="clear" w:color="auto" w:fill="B5C0D8"/>
          </w:tcPr>
          <w:p w14:paraId="4D174798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Naziv aktivnosti</w:t>
            </w:r>
          </w:p>
        </w:tc>
        <w:tc>
          <w:tcPr>
            <w:tcW w:w="2041" w:type="dxa"/>
            <w:shd w:val="clear" w:color="auto" w:fill="B5C0D8"/>
          </w:tcPr>
          <w:p w14:paraId="11226FBC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Izvršenje 2023. (eur)</w:t>
            </w:r>
          </w:p>
        </w:tc>
        <w:tc>
          <w:tcPr>
            <w:tcW w:w="2041" w:type="dxa"/>
            <w:shd w:val="clear" w:color="auto" w:fill="B5C0D8"/>
          </w:tcPr>
          <w:p w14:paraId="712526C8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Plan 2024. (eur)</w:t>
            </w:r>
          </w:p>
        </w:tc>
        <w:tc>
          <w:tcPr>
            <w:tcW w:w="2041" w:type="dxa"/>
            <w:shd w:val="clear" w:color="auto" w:fill="B5C0D8"/>
          </w:tcPr>
          <w:p w14:paraId="394DBC4B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Izvršenje 2024. (eur)</w:t>
            </w:r>
          </w:p>
        </w:tc>
        <w:tc>
          <w:tcPr>
            <w:tcW w:w="1224" w:type="dxa"/>
            <w:shd w:val="clear" w:color="auto" w:fill="B5C0D8"/>
          </w:tcPr>
          <w:p w14:paraId="763D69FA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Indeks izvršenje 2024./plan 2024.</w:t>
            </w:r>
          </w:p>
        </w:tc>
        <w:tc>
          <w:tcPr>
            <w:tcW w:w="1224" w:type="dxa"/>
            <w:shd w:val="clear" w:color="auto" w:fill="B5C0D8"/>
          </w:tcPr>
          <w:p w14:paraId="2D1788C4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Indeks izvršenje 2024./2023.</w:t>
            </w:r>
          </w:p>
        </w:tc>
      </w:tr>
      <w:tr w:rsidR="00F231BA" w14:paraId="65E8F92F" w14:textId="77777777">
        <w:trPr>
          <w:jc w:val="center"/>
        </w:trPr>
        <w:tc>
          <w:tcPr>
            <w:tcW w:w="1632" w:type="dxa"/>
          </w:tcPr>
          <w:p w14:paraId="7D5DED6C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K919006-GEOTERMALNI PROJEKTI-NPOO.C1.2.R1-I2.02</w:t>
            </w:r>
          </w:p>
        </w:tc>
        <w:tc>
          <w:tcPr>
            <w:tcW w:w="2041" w:type="dxa"/>
          </w:tcPr>
          <w:p w14:paraId="176A478A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2.017.242</w:t>
            </w:r>
          </w:p>
        </w:tc>
        <w:tc>
          <w:tcPr>
            <w:tcW w:w="2041" w:type="dxa"/>
          </w:tcPr>
          <w:p w14:paraId="634743FC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3.446.980</w:t>
            </w:r>
          </w:p>
        </w:tc>
        <w:tc>
          <w:tcPr>
            <w:tcW w:w="2041" w:type="dxa"/>
          </w:tcPr>
          <w:p w14:paraId="400805FF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2.165.020</w:t>
            </w:r>
          </w:p>
        </w:tc>
        <w:tc>
          <w:tcPr>
            <w:tcW w:w="1224" w:type="dxa"/>
          </w:tcPr>
          <w:p w14:paraId="0EDACD40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62,8</w:t>
            </w:r>
          </w:p>
        </w:tc>
        <w:tc>
          <w:tcPr>
            <w:tcW w:w="1224" w:type="dxa"/>
          </w:tcPr>
          <w:p w14:paraId="7B00B9E8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107,3</w:t>
            </w:r>
          </w:p>
        </w:tc>
      </w:tr>
    </w:tbl>
    <w:p w14:paraId="35AC5C50" w14:textId="77777777" w:rsidR="00F231BA" w:rsidRDefault="00F231BA">
      <w:pPr>
        <w:jc w:val="left"/>
      </w:pPr>
    </w:p>
    <w:p w14:paraId="305E338B" w14:textId="77777777" w:rsidR="00F231BA" w:rsidRDefault="00EF2986">
      <w:pPr>
        <w:pStyle w:val="Heading8"/>
        <w:jc w:val="left"/>
      </w:pPr>
      <w:r>
        <w:lastRenderedPageBreak/>
        <w:t>Zakonske i druge pravne osnove</w:t>
      </w:r>
    </w:p>
    <w:p w14:paraId="28EC241A" w14:textId="77777777" w:rsidR="00F231BA" w:rsidRDefault="00EF2986">
      <w:r>
        <w:t xml:space="preserve">- Zakon o istraživanju i eksploataciji ugljikovodika  </w:t>
      </w:r>
    </w:p>
    <w:p w14:paraId="0631D3AA" w14:textId="77777777" w:rsidR="00F231BA" w:rsidRDefault="00EF2986">
      <w:r>
        <w:t>-Nacionalni plan oporavka i otpornosti (NPOO), pod ciljem C1.2. R1-I2 „Poticanje energetske učinkovitosti, toplinarstva i obnovljivih izvora energije za dekarbonizaciju energetskog sektora“</w:t>
      </w:r>
    </w:p>
    <w:p w14:paraId="4091C88C" w14:textId="77777777" w:rsidR="00F231BA" w:rsidRDefault="00EF2986">
      <w:pPr>
        <w:pStyle w:val="Heading8"/>
        <w:jc w:val="left"/>
      </w:pPr>
      <w:r>
        <w:t>Opis aktivnosti</w:t>
      </w:r>
    </w:p>
    <w:p w14:paraId="33C767A5" w14:textId="77777777" w:rsidR="00F231BA" w:rsidRDefault="00EF2986">
      <w:r>
        <w:t>Sukladno svojim ovlastima, Agencija je provodila sve radnje potrebne u svrhu davanja prijedloga Ministarstvu za izdavanje dozvole za istraživanje geotermalnih voda za energetske svrhe. Pripremne radnje uključivale su određivanje granica istražnih prostora i izradu preglednih zemljovida, prikupljanje posebnih uvjeta, suglasnosti i ograničenja za istraživanje geotermalnih voda, određivanje vrste i minimalne količine istražnih radova, određivanje  kriterija za odabir najpovoljnijeg ponuditelja, pripremu setova</w:t>
      </w:r>
      <w:r>
        <w:t xml:space="preserve"> geoloških, geofizičkih i bušotinskih podataka koje su zainteresirani ponuditelji mogli preuzeti po plaćanju pristojbe za nadmetanje. </w:t>
      </w:r>
    </w:p>
    <w:p w14:paraId="03DFF50B" w14:textId="77777777" w:rsidR="00F231BA" w:rsidRDefault="00EF2986">
      <w:r>
        <w:t>Za ispitivanje geotermalnog potencijala odabrano je šest lokacija odnosno preliminarnih istražnih prostora sukladno geološkim i tehničkim kriterijima. Šest preliminarnih istražnih prostora su: Osijek, Vinkovci, Vukovar, Zaprešić, Sisak i Velika Gorica. Na svim preliminarnim istražnim prostorima su tijekom prve polovine 2023. godine izvedena geofizička snimanja 2D seizmike i magnetotelurike. Obradom i interpretacijom navedenih podataka uz integraciju postojećih geofizičkih podataka, dobila se jasnija slika p</w:t>
      </w:r>
      <w:r>
        <w:t xml:space="preserve">odzemlja i potencijala iskorištavanja geotermalne vode na svakom od prostora. Svi novo snimljeni i postojeći podaci objedinit će se integriranim geološko-geofizičkim studijama za svaki od šest preliminarnih istražnih prostora. </w:t>
      </w:r>
    </w:p>
    <w:p w14:paraId="41C86124" w14:textId="77777777" w:rsidR="00F231BA" w:rsidRDefault="00EF2986">
      <w:r>
        <w:t xml:space="preserve">U  svibnju 2024. s domaćom kompanijom CROSCO, naftni servisi d.o.o. potpisani su ugovori za projektiranje, nabavu materijala i izradu istražnih geotermalnih bušotina po principu ključ u ruke za lokacije u Velikoj Gorici, Zaprešiću, Osijeku i Vinkovcima, a krajem godine započeli su i poslovi pripreme za početak radova bušenja koji se planira u prvom kvartalu 2025. godine. U 2024. godini ishođena je projektna dokumentacija za izradu bušotine te je u prosincu 2024. g. počela izrada bušotinskog radnog prostora </w:t>
      </w:r>
      <w:r>
        <w:t>za istražnu geotermalnu bušotinu Velika Gorica GT-</w:t>
      </w:r>
    </w:p>
    <w:p w14:paraId="3F437A1F" w14:textId="77777777" w:rsidR="00F231BA" w:rsidRDefault="00EF2986">
      <w:pPr>
        <w:pStyle w:val="Heading8"/>
        <w:jc w:val="left"/>
      </w:pPr>
      <w:r>
        <w:t>Pokazatelji rezultata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2553"/>
        <w:gridCol w:w="2553"/>
        <w:gridCol w:w="1020"/>
        <w:gridCol w:w="1020"/>
        <w:gridCol w:w="1020"/>
        <w:gridCol w:w="1020"/>
        <w:gridCol w:w="1020"/>
      </w:tblGrid>
      <w:tr w:rsidR="00F231BA" w14:paraId="69077011" w14:textId="77777777">
        <w:trPr>
          <w:jc w:val="center"/>
        </w:trPr>
        <w:tc>
          <w:tcPr>
            <w:tcW w:w="2551" w:type="dxa"/>
            <w:shd w:val="clear" w:color="auto" w:fill="B5C0D8"/>
          </w:tcPr>
          <w:p w14:paraId="1AB0BB26" w14:textId="77777777" w:rsidR="00F231BA" w:rsidRDefault="00EF2986">
            <w:pPr>
              <w:jc w:val="center"/>
            </w:pPr>
            <w:r>
              <w:t>Pokazatelj rezultata</w:t>
            </w:r>
          </w:p>
        </w:tc>
        <w:tc>
          <w:tcPr>
            <w:tcW w:w="2551" w:type="dxa"/>
            <w:shd w:val="clear" w:color="auto" w:fill="B5C0D8"/>
          </w:tcPr>
          <w:p w14:paraId="09086A03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Definicija</w:t>
            </w:r>
          </w:p>
        </w:tc>
        <w:tc>
          <w:tcPr>
            <w:tcW w:w="1020" w:type="dxa"/>
            <w:shd w:val="clear" w:color="auto" w:fill="B5C0D8"/>
          </w:tcPr>
          <w:p w14:paraId="22D7BA53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Jedinica</w:t>
            </w:r>
          </w:p>
        </w:tc>
        <w:tc>
          <w:tcPr>
            <w:tcW w:w="1020" w:type="dxa"/>
            <w:shd w:val="clear" w:color="auto" w:fill="B5C0D8"/>
          </w:tcPr>
          <w:p w14:paraId="4913D5B2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Polazna vrijednost</w:t>
            </w:r>
          </w:p>
        </w:tc>
        <w:tc>
          <w:tcPr>
            <w:tcW w:w="1020" w:type="dxa"/>
            <w:shd w:val="clear" w:color="auto" w:fill="B5C0D8"/>
          </w:tcPr>
          <w:p w14:paraId="18F9FBD0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Izvor podataka</w:t>
            </w:r>
          </w:p>
        </w:tc>
        <w:tc>
          <w:tcPr>
            <w:tcW w:w="1020" w:type="dxa"/>
            <w:shd w:val="clear" w:color="auto" w:fill="B5C0D8"/>
          </w:tcPr>
          <w:p w14:paraId="493E0E7D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(2024.)</w:t>
            </w:r>
          </w:p>
        </w:tc>
        <w:tc>
          <w:tcPr>
            <w:tcW w:w="1020" w:type="dxa"/>
            <w:shd w:val="clear" w:color="auto" w:fill="B5C0D8"/>
          </w:tcPr>
          <w:p w14:paraId="6CBEA687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Ostvarena vrijednost (2024.)</w:t>
            </w:r>
          </w:p>
        </w:tc>
      </w:tr>
      <w:tr w:rsidR="00F231BA" w14:paraId="009E4DE7" w14:textId="77777777">
        <w:trPr>
          <w:jc w:val="center"/>
        </w:trPr>
        <w:tc>
          <w:tcPr>
            <w:tcW w:w="2551" w:type="dxa"/>
          </w:tcPr>
          <w:p w14:paraId="5D633316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Utvrđivanje geotermalnog potencijala u RH</w:t>
            </w:r>
          </w:p>
        </w:tc>
        <w:tc>
          <w:tcPr>
            <w:tcW w:w="2551" w:type="dxa"/>
          </w:tcPr>
          <w:p w14:paraId="41ABB6F2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Izrada studija geotermalnog potencijala</w:t>
            </w:r>
          </w:p>
        </w:tc>
        <w:tc>
          <w:tcPr>
            <w:tcW w:w="1020" w:type="dxa"/>
          </w:tcPr>
          <w:p w14:paraId="73964797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kom</w:t>
            </w:r>
          </w:p>
        </w:tc>
        <w:tc>
          <w:tcPr>
            <w:tcW w:w="1020" w:type="dxa"/>
          </w:tcPr>
          <w:p w14:paraId="67455859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1</w:t>
            </w:r>
          </w:p>
        </w:tc>
        <w:tc>
          <w:tcPr>
            <w:tcW w:w="1020" w:type="dxa"/>
          </w:tcPr>
          <w:p w14:paraId="6A5B4F22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AZU</w:t>
            </w:r>
          </w:p>
        </w:tc>
        <w:tc>
          <w:tcPr>
            <w:tcW w:w="1020" w:type="dxa"/>
          </w:tcPr>
          <w:p w14:paraId="4BF7AE68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9</w:t>
            </w:r>
          </w:p>
        </w:tc>
        <w:tc>
          <w:tcPr>
            <w:tcW w:w="1020" w:type="dxa"/>
          </w:tcPr>
          <w:p w14:paraId="77EAAA90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9</w:t>
            </w:r>
          </w:p>
        </w:tc>
      </w:tr>
      <w:tr w:rsidR="00F231BA" w14:paraId="4DE82F3F" w14:textId="77777777">
        <w:trPr>
          <w:jc w:val="center"/>
        </w:trPr>
        <w:tc>
          <w:tcPr>
            <w:tcW w:w="2551" w:type="dxa"/>
          </w:tcPr>
          <w:p w14:paraId="541F467F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Izrada projektne dokumentacije za istražne bušotine</w:t>
            </w:r>
          </w:p>
        </w:tc>
        <w:tc>
          <w:tcPr>
            <w:tcW w:w="2551" w:type="dxa"/>
          </w:tcPr>
          <w:p w14:paraId="4EE05D17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Kompletirana projektna dokumentacija</w:t>
            </w:r>
          </w:p>
        </w:tc>
        <w:tc>
          <w:tcPr>
            <w:tcW w:w="1020" w:type="dxa"/>
          </w:tcPr>
          <w:p w14:paraId="10601054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kom</w:t>
            </w:r>
          </w:p>
        </w:tc>
        <w:tc>
          <w:tcPr>
            <w:tcW w:w="1020" w:type="dxa"/>
          </w:tcPr>
          <w:p w14:paraId="505F193E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0</w:t>
            </w:r>
          </w:p>
        </w:tc>
        <w:tc>
          <w:tcPr>
            <w:tcW w:w="1020" w:type="dxa"/>
          </w:tcPr>
          <w:p w14:paraId="6B58383C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AZU</w:t>
            </w:r>
          </w:p>
        </w:tc>
        <w:tc>
          <w:tcPr>
            <w:tcW w:w="1020" w:type="dxa"/>
          </w:tcPr>
          <w:p w14:paraId="32725866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6</w:t>
            </w:r>
          </w:p>
        </w:tc>
        <w:tc>
          <w:tcPr>
            <w:tcW w:w="1020" w:type="dxa"/>
          </w:tcPr>
          <w:p w14:paraId="67B60B9B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4</w:t>
            </w:r>
          </w:p>
        </w:tc>
      </w:tr>
    </w:tbl>
    <w:p w14:paraId="5F6959FA" w14:textId="77777777" w:rsidR="00F231BA" w:rsidRDefault="00F231BA">
      <w:pPr>
        <w:jc w:val="left"/>
      </w:pPr>
    </w:p>
    <w:p w14:paraId="67ADC0B5" w14:textId="77777777" w:rsidR="00F231BA" w:rsidRDefault="00EF2986">
      <w:pPr>
        <w:pStyle w:val="Heading4"/>
      </w:pPr>
      <w:r>
        <w:t>K919007 NORVEŠKI FINANCIJSKI MEHANIZAM 2014-2021 ENERGIJA I KLIMATSKE PROMJENE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632"/>
        <w:gridCol w:w="2042"/>
        <w:gridCol w:w="2042"/>
        <w:gridCol w:w="2042"/>
        <w:gridCol w:w="1224"/>
        <w:gridCol w:w="1224"/>
      </w:tblGrid>
      <w:tr w:rsidR="00F231BA" w14:paraId="2FE8C4A9" w14:textId="77777777">
        <w:trPr>
          <w:jc w:val="center"/>
        </w:trPr>
        <w:tc>
          <w:tcPr>
            <w:tcW w:w="1632" w:type="dxa"/>
            <w:shd w:val="clear" w:color="auto" w:fill="B5C0D8"/>
          </w:tcPr>
          <w:p w14:paraId="0FC6C762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Naziv aktivnosti</w:t>
            </w:r>
          </w:p>
        </w:tc>
        <w:tc>
          <w:tcPr>
            <w:tcW w:w="2041" w:type="dxa"/>
            <w:shd w:val="clear" w:color="auto" w:fill="B5C0D8"/>
          </w:tcPr>
          <w:p w14:paraId="57DBB618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Izvršenje 2023. (eur)</w:t>
            </w:r>
          </w:p>
        </w:tc>
        <w:tc>
          <w:tcPr>
            <w:tcW w:w="2041" w:type="dxa"/>
            <w:shd w:val="clear" w:color="auto" w:fill="B5C0D8"/>
          </w:tcPr>
          <w:p w14:paraId="22E5991A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Plan 2024. (eur)</w:t>
            </w:r>
          </w:p>
        </w:tc>
        <w:tc>
          <w:tcPr>
            <w:tcW w:w="2041" w:type="dxa"/>
            <w:shd w:val="clear" w:color="auto" w:fill="B5C0D8"/>
          </w:tcPr>
          <w:p w14:paraId="5D2F40E0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Izvršenje 2024. (eur)</w:t>
            </w:r>
          </w:p>
        </w:tc>
        <w:tc>
          <w:tcPr>
            <w:tcW w:w="1224" w:type="dxa"/>
            <w:shd w:val="clear" w:color="auto" w:fill="B5C0D8"/>
          </w:tcPr>
          <w:p w14:paraId="78D8C7AF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Indeks izvršenje 2024./plan 2024.</w:t>
            </w:r>
          </w:p>
        </w:tc>
        <w:tc>
          <w:tcPr>
            <w:tcW w:w="1224" w:type="dxa"/>
            <w:shd w:val="clear" w:color="auto" w:fill="B5C0D8"/>
          </w:tcPr>
          <w:p w14:paraId="2F717D83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Indeks izvršenje 2024./2023.</w:t>
            </w:r>
          </w:p>
        </w:tc>
      </w:tr>
      <w:tr w:rsidR="00F231BA" w14:paraId="29927509" w14:textId="77777777">
        <w:trPr>
          <w:jc w:val="center"/>
        </w:trPr>
        <w:tc>
          <w:tcPr>
            <w:tcW w:w="1632" w:type="dxa"/>
          </w:tcPr>
          <w:p w14:paraId="0FCD5878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K919007-NORVEŠKI FINANCIJSKI MEHANIZAM 2014-2021 ENERGIJA I KLIMATSKE PROMJENE</w:t>
            </w:r>
          </w:p>
        </w:tc>
        <w:tc>
          <w:tcPr>
            <w:tcW w:w="2041" w:type="dxa"/>
          </w:tcPr>
          <w:p w14:paraId="53C7BB99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109.681</w:t>
            </w:r>
          </w:p>
        </w:tc>
        <w:tc>
          <w:tcPr>
            <w:tcW w:w="2041" w:type="dxa"/>
          </w:tcPr>
          <w:p w14:paraId="3074CBC7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6.167</w:t>
            </w:r>
          </w:p>
        </w:tc>
        <w:tc>
          <w:tcPr>
            <w:tcW w:w="2041" w:type="dxa"/>
          </w:tcPr>
          <w:p w14:paraId="0BBA5A0D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5.670</w:t>
            </w:r>
          </w:p>
        </w:tc>
        <w:tc>
          <w:tcPr>
            <w:tcW w:w="1224" w:type="dxa"/>
          </w:tcPr>
          <w:p w14:paraId="071D6683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91,9</w:t>
            </w:r>
          </w:p>
        </w:tc>
        <w:tc>
          <w:tcPr>
            <w:tcW w:w="1224" w:type="dxa"/>
          </w:tcPr>
          <w:p w14:paraId="0DF27580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5,2</w:t>
            </w:r>
          </w:p>
        </w:tc>
      </w:tr>
    </w:tbl>
    <w:p w14:paraId="72A0A352" w14:textId="77777777" w:rsidR="00F231BA" w:rsidRDefault="00F231BA">
      <w:pPr>
        <w:jc w:val="left"/>
      </w:pPr>
    </w:p>
    <w:p w14:paraId="17A684D1" w14:textId="77777777" w:rsidR="00F231BA" w:rsidRDefault="00EF2986">
      <w:pPr>
        <w:pStyle w:val="Heading8"/>
        <w:jc w:val="left"/>
      </w:pPr>
      <w:r>
        <w:lastRenderedPageBreak/>
        <w:t>Zakonske i druge pravne osnove</w:t>
      </w:r>
    </w:p>
    <w:p w14:paraId="6A41FB7F" w14:textId="77777777" w:rsidR="00F231BA" w:rsidRDefault="00EF2986">
      <w:r>
        <w:t xml:space="preserve">Zakon o potvrđivanju Memoranduma o suglasnosti o provedbi EGP financijskog mehanizma za razdoblje od 2014. do 2021. godine između Islanda, Kneževine Lihtenštajna, Kraljevine Norveške i Republike Hrvatske (Narodne novine, broj 7/18 –međunarodni ugovori;   </w:t>
      </w:r>
    </w:p>
    <w:p w14:paraId="005A3279" w14:textId="77777777" w:rsidR="00F231BA" w:rsidRDefault="00EF2986">
      <w:r>
        <w:t>Uredba o provedbi EGP financijskog mehanizma za razdoblje od 2014. do 2021. godine, donesenoj 23. rujna 2016. godine od strane Stalnog odbora država EFTA-e u skladu s člankom 10.5. Protokola 38.c uz Sporazum o EGP-u od 8. rujna 2016. godine</w:t>
      </w:r>
    </w:p>
    <w:p w14:paraId="1F4EFEB0" w14:textId="77777777" w:rsidR="00F231BA" w:rsidRDefault="00EF2986">
      <w:pPr>
        <w:pStyle w:val="Heading8"/>
        <w:jc w:val="left"/>
      </w:pPr>
      <w:r>
        <w:t>Opis aktivnosti</w:t>
      </w:r>
    </w:p>
    <w:p w14:paraId="348D584B" w14:textId="77777777" w:rsidR="00F231BA" w:rsidRDefault="00EF2986">
      <w:r>
        <w:t xml:space="preserve">Dana 30.travnja 2024. godine Agencija je održala završnu konferenciju projekta gdje je predstavljena jedinstvena, interaktivna i javna platforma s prikazom svih istražnnih prostora i eksploatacijskih polja geotermalne vode za energetske svrhe, relevantnim bušotinskim podacima i kartom geotermalnog gradijenta (interaktivna karta na Gis portalu).  </w:t>
      </w:r>
    </w:p>
    <w:p w14:paraId="2D80F982" w14:textId="77777777" w:rsidR="00F231BA" w:rsidRDefault="00EF2986">
      <w:r>
        <w:t xml:space="preserve"> </w:t>
      </w:r>
    </w:p>
    <w:p w14:paraId="47F0B5E9" w14:textId="77777777" w:rsidR="00F231BA" w:rsidRDefault="00EF2986">
      <w:r>
        <w:t>Budući je spomenuti datum ujedno predstavljao završetak projekta, indeks izvršenja je očekivano značajno manji nego u prethodnoj, 2023. godini.</w:t>
      </w:r>
    </w:p>
    <w:p w14:paraId="787F82A2" w14:textId="77777777" w:rsidR="00F231BA" w:rsidRDefault="00EF2986">
      <w:pPr>
        <w:pStyle w:val="Heading8"/>
        <w:jc w:val="left"/>
      </w:pPr>
      <w:r>
        <w:t>Pokazatelji rezultata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2553"/>
        <w:gridCol w:w="2553"/>
        <w:gridCol w:w="1020"/>
        <w:gridCol w:w="1020"/>
        <w:gridCol w:w="1020"/>
        <w:gridCol w:w="1020"/>
        <w:gridCol w:w="1020"/>
      </w:tblGrid>
      <w:tr w:rsidR="00F231BA" w14:paraId="1D303B3E" w14:textId="77777777">
        <w:trPr>
          <w:jc w:val="center"/>
        </w:trPr>
        <w:tc>
          <w:tcPr>
            <w:tcW w:w="2551" w:type="dxa"/>
            <w:shd w:val="clear" w:color="auto" w:fill="B5C0D8"/>
          </w:tcPr>
          <w:p w14:paraId="4EC37CA2" w14:textId="77777777" w:rsidR="00F231BA" w:rsidRDefault="00EF2986">
            <w:pPr>
              <w:jc w:val="center"/>
            </w:pPr>
            <w:r>
              <w:t>Pokazatelj rezultata</w:t>
            </w:r>
          </w:p>
        </w:tc>
        <w:tc>
          <w:tcPr>
            <w:tcW w:w="2551" w:type="dxa"/>
            <w:shd w:val="clear" w:color="auto" w:fill="B5C0D8"/>
          </w:tcPr>
          <w:p w14:paraId="3C912F63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Definicija</w:t>
            </w:r>
          </w:p>
        </w:tc>
        <w:tc>
          <w:tcPr>
            <w:tcW w:w="1020" w:type="dxa"/>
            <w:shd w:val="clear" w:color="auto" w:fill="B5C0D8"/>
          </w:tcPr>
          <w:p w14:paraId="28D3CF52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Jedinica</w:t>
            </w:r>
          </w:p>
        </w:tc>
        <w:tc>
          <w:tcPr>
            <w:tcW w:w="1020" w:type="dxa"/>
            <w:shd w:val="clear" w:color="auto" w:fill="B5C0D8"/>
          </w:tcPr>
          <w:p w14:paraId="60C534E9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Polazna vrijednost</w:t>
            </w:r>
          </w:p>
        </w:tc>
        <w:tc>
          <w:tcPr>
            <w:tcW w:w="1020" w:type="dxa"/>
            <w:shd w:val="clear" w:color="auto" w:fill="B5C0D8"/>
          </w:tcPr>
          <w:p w14:paraId="088BAA5C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Izvor podataka</w:t>
            </w:r>
          </w:p>
        </w:tc>
        <w:tc>
          <w:tcPr>
            <w:tcW w:w="1020" w:type="dxa"/>
            <w:shd w:val="clear" w:color="auto" w:fill="B5C0D8"/>
          </w:tcPr>
          <w:p w14:paraId="71134B7C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(2024.)</w:t>
            </w:r>
          </w:p>
        </w:tc>
        <w:tc>
          <w:tcPr>
            <w:tcW w:w="1020" w:type="dxa"/>
            <w:shd w:val="clear" w:color="auto" w:fill="B5C0D8"/>
          </w:tcPr>
          <w:p w14:paraId="0C43B981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Ostvarena vrijednost (2024.)</w:t>
            </w:r>
          </w:p>
        </w:tc>
      </w:tr>
      <w:tr w:rsidR="00F231BA" w14:paraId="2F389DCD" w14:textId="77777777">
        <w:trPr>
          <w:jc w:val="center"/>
        </w:trPr>
        <w:tc>
          <w:tcPr>
            <w:tcW w:w="2551" w:type="dxa"/>
          </w:tcPr>
          <w:p w14:paraId="5E5D87E6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Izrada jedinstvene interaktivna karte  geotermalnog gradijenta u  Republici Hrvatskoj</w:t>
            </w:r>
          </w:p>
        </w:tc>
        <w:tc>
          <w:tcPr>
            <w:tcW w:w="2551" w:type="dxa"/>
          </w:tcPr>
          <w:p w14:paraId="45335C3E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Strukturiranje baze podataka duboke geotermalne energije</w:t>
            </w:r>
          </w:p>
        </w:tc>
        <w:tc>
          <w:tcPr>
            <w:tcW w:w="1020" w:type="dxa"/>
          </w:tcPr>
          <w:p w14:paraId="5E66A09F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kom</w:t>
            </w:r>
          </w:p>
        </w:tc>
        <w:tc>
          <w:tcPr>
            <w:tcW w:w="1020" w:type="dxa"/>
          </w:tcPr>
          <w:p w14:paraId="222CD565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0</w:t>
            </w:r>
          </w:p>
        </w:tc>
        <w:tc>
          <w:tcPr>
            <w:tcW w:w="1020" w:type="dxa"/>
          </w:tcPr>
          <w:p w14:paraId="2D03512B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AZU</w:t>
            </w:r>
          </w:p>
        </w:tc>
        <w:tc>
          <w:tcPr>
            <w:tcW w:w="1020" w:type="dxa"/>
          </w:tcPr>
          <w:p w14:paraId="734DB16A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1</w:t>
            </w:r>
          </w:p>
        </w:tc>
        <w:tc>
          <w:tcPr>
            <w:tcW w:w="1020" w:type="dxa"/>
          </w:tcPr>
          <w:p w14:paraId="069C24B3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1</w:t>
            </w:r>
          </w:p>
        </w:tc>
      </w:tr>
    </w:tbl>
    <w:p w14:paraId="2A0A92D9" w14:textId="77777777" w:rsidR="00F231BA" w:rsidRDefault="00F231BA">
      <w:pPr>
        <w:jc w:val="left"/>
      </w:pPr>
    </w:p>
    <w:p w14:paraId="72B04C58" w14:textId="77777777" w:rsidR="00F231BA" w:rsidRDefault="00EF2986">
      <w:pPr>
        <w:pStyle w:val="Heading4"/>
      </w:pPr>
      <w:r>
        <w:t>T919008 INTERREG EUROPE  - GREEN HYDRA, "POBOLJŠANJE POLITIKA ZA UKLJUČIVANJE MSP-OVA U EKO SUSTAV ZELENOG VODIKA" (02C0652)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632"/>
        <w:gridCol w:w="2042"/>
        <w:gridCol w:w="2042"/>
        <w:gridCol w:w="2042"/>
        <w:gridCol w:w="1224"/>
        <w:gridCol w:w="1224"/>
      </w:tblGrid>
      <w:tr w:rsidR="00F231BA" w14:paraId="463439E6" w14:textId="77777777">
        <w:trPr>
          <w:jc w:val="center"/>
        </w:trPr>
        <w:tc>
          <w:tcPr>
            <w:tcW w:w="1632" w:type="dxa"/>
            <w:shd w:val="clear" w:color="auto" w:fill="B5C0D8"/>
          </w:tcPr>
          <w:p w14:paraId="706DD10A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Naziv aktivnosti</w:t>
            </w:r>
          </w:p>
        </w:tc>
        <w:tc>
          <w:tcPr>
            <w:tcW w:w="2041" w:type="dxa"/>
            <w:shd w:val="clear" w:color="auto" w:fill="B5C0D8"/>
          </w:tcPr>
          <w:p w14:paraId="3FF95D40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Izvršenje 2023. (eur)</w:t>
            </w:r>
          </w:p>
        </w:tc>
        <w:tc>
          <w:tcPr>
            <w:tcW w:w="2041" w:type="dxa"/>
            <w:shd w:val="clear" w:color="auto" w:fill="B5C0D8"/>
          </w:tcPr>
          <w:p w14:paraId="5C7B3A63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Plan 2024. (eur)</w:t>
            </w:r>
          </w:p>
        </w:tc>
        <w:tc>
          <w:tcPr>
            <w:tcW w:w="2041" w:type="dxa"/>
            <w:shd w:val="clear" w:color="auto" w:fill="B5C0D8"/>
          </w:tcPr>
          <w:p w14:paraId="7E7BD582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Izvršenje 2024. (eur)</w:t>
            </w:r>
          </w:p>
        </w:tc>
        <w:tc>
          <w:tcPr>
            <w:tcW w:w="1224" w:type="dxa"/>
            <w:shd w:val="clear" w:color="auto" w:fill="B5C0D8"/>
          </w:tcPr>
          <w:p w14:paraId="6FBACB7E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Indeks izvršenje 2024./plan 2024.</w:t>
            </w:r>
          </w:p>
        </w:tc>
        <w:tc>
          <w:tcPr>
            <w:tcW w:w="1224" w:type="dxa"/>
            <w:shd w:val="clear" w:color="auto" w:fill="B5C0D8"/>
          </w:tcPr>
          <w:p w14:paraId="6C1D96EF" w14:textId="77777777" w:rsidR="00F231BA" w:rsidRDefault="00EF2986">
            <w:pPr>
              <w:pStyle w:val="CellHeader"/>
              <w:jc w:val="center"/>
            </w:pPr>
            <w:r>
              <w:rPr>
                <w:rFonts w:cs="Times New Roman"/>
              </w:rPr>
              <w:t>Indeks izvršenje 2024./2023.</w:t>
            </w:r>
          </w:p>
        </w:tc>
      </w:tr>
      <w:tr w:rsidR="00F231BA" w14:paraId="2EEE15D2" w14:textId="77777777">
        <w:trPr>
          <w:jc w:val="center"/>
        </w:trPr>
        <w:tc>
          <w:tcPr>
            <w:tcW w:w="1632" w:type="dxa"/>
          </w:tcPr>
          <w:p w14:paraId="5C9DF5C2" w14:textId="77777777" w:rsidR="00F231BA" w:rsidRDefault="00EF2986">
            <w:pPr>
              <w:pStyle w:val="CellColumn"/>
              <w:jc w:val="left"/>
            </w:pPr>
            <w:r>
              <w:rPr>
                <w:rFonts w:cs="Times New Roman"/>
              </w:rPr>
              <w:t>T919008-INTERREG EUROPE  - GREEN HYDRA, "POBOLJŠANJE POLITIKA ZA UKLJUČIVANJE MSP-OVA U EKO SUSTAV ZELENOG VODIKA" (02C0652)</w:t>
            </w:r>
          </w:p>
        </w:tc>
        <w:tc>
          <w:tcPr>
            <w:tcW w:w="2041" w:type="dxa"/>
          </w:tcPr>
          <w:p w14:paraId="32E9FF13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00</w:t>
            </w:r>
          </w:p>
        </w:tc>
        <w:tc>
          <w:tcPr>
            <w:tcW w:w="2041" w:type="dxa"/>
          </w:tcPr>
          <w:p w14:paraId="55EB4F72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24.930</w:t>
            </w:r>
          </w:p>
        </w:tc>
        <w:tc>
          <w:tcPr>
            <w:tcW w:w="2041" w:type="dxa"/>
          </w:tcPr>
          <w:p w14:paraId="3F53B68F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24.495</w:t>
            </w:r>
          </w:p>
        </w:tc>
        <w:tc>
          <w:tcPr>
            <w:tcW w:w="1224" w:type="dxa"/>
          </w:tcPr>
          <w:p w14:paraId="098F663E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98,3</w:t>
            </w:r>
          </w:p>
        </w:tc>
        <w:tc>
          <w:tcPr>
            <w:tcW w:w="1224" w:type="dxa"/>
          </w:tcPr>
          <w:p w14:paraId="5D520747" w14:textId="77777777" w:rsidR="00F231BA" w:rsidRDefault="00EF2986">
            <w:pPr>
              <w:pStyle w:val="CellColumn"/>
              <w:jc w:val="right"/>
            </w:pPr>
            <w:r>
              <w:rPr>
                <w:rFonts w:cs="Times New Roman"/>
              </w:rPr>
              <w:t>0,0</w:t>
            </w:r>
          </w:p>
        </w:tc>
      </w:tr>
    </w:tbl>
    <w:p w14:paraId="7EC7E9C2" w14:textId="77777777" w:rsidR="00F231BA" w:rsidRDefault="00F231BA">
      <w:pPr>
        <w:jc w:val="left"/>
      </w:pPr>
    </w:p>
    <w:p w14:paraId="565FBAD3" w14:textId="77777777" w:rsidR="00F231BA" w:rsidRDefault="00EF2986">
      <w:pPr>
        <w:pStyle w:val="Heading8"/>
        <w:jc w:val="left"/>
      </w:pPr>
      <w:r>
        <w:t>Zakonske i druge pravne osnove</w:t>
      </w:r>
    </w:p>
    <w:p w14:paraId="318F1A87" w14:textId="77777777" w:rsidR="00F231BA" w:rsidRDefault="00EF2986">
      <w:r>
        <w:t xml:space="preserve">Zakon o izmjenama i dopunama Zakona o obnovljivim izvorima energije i visokoučinkovitoj kogeneraciji </w:t>
      </w:r>
    </w:p>
    <w:p w14:paraId="59F979C5" w14:textId="77777777" w:rsidR="00F231BA" w:rsidRDefault="00EF2986">
      <w:r>
        <w:t>Zakon o osnivanju Agencije za ugljikovodike</w:t>
      </w:r>
    </w:p>
    <w:p w14:paraId="52C15468" w14:textId="77777777" w:rsidR="00F231BA" w:rsidRDefault="00EF2986">
      <w:pPr>
        <w:pStyle w:val="Heading8"/>
        <w:jc w:val="left"/>
      </w:pPr>
      <w:r>
        <w:lastRenderedPageBreak/>
        <w:t>Opis aktivnosti</w:t>
      </w:r>
    </w:p>
    <w:p w14:paraId="5DCFEB74" w14:textId="77777777" w:rsidR="00F231BA" w:rsidRDefault="00EF2986">
      <w:r>
        <w:t>Projekt GREEN HYDRA "Poboljšanje politika za uključivanje MSP-ova u ekosustav zelenog vodika" (02C0652), se provodi u okviru Programa Interreg Europe 2021.-2027. (kojima se podržava cilj „Europska teritorijalna suradnja“). Sredstva ovog projekta su namjenjena za stručne radionice i razmjenu iskustava i stručnih znanja, a u 2024. godini su ostvareni rashodi za plaće (projektni tim), službena putovanja te za uredski materijal i grafičke i tiskarske usluge.</w:t>
      </w:r>
    </w:p>
    <w:sectPr w:rsidR="00F231BA" w:rsidSect="00F91724">
      <w:headerReference w:type="default" r:id="rId7"/>
      <w:footerReference w:type="default" r:id="rId8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17BB4" w14:textId="77777777" w:rsidR="007A7E45" w:rsidRDefault="007A7E45" w:rsidP="00F352E6">
      <w:r>
        <w:separator/>
      </w:r>
    </w:p>
  </w:endnote>
  <w:endnote w:type="continuationSeparator" w:id="0">
    <w:p w14:paraId="01077308" w14:textId="77777777" w:rsidR="007A7E45" w:rsidRDefault="007A7E45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49198" w14:textId="77777777" w:rsidR="00EF2986" w:rsidRPr="00D769ED" w:rsidRDefault="00EF2986" w:rsidP="007D4430">
    <w:pPr>
      <w:pStyle w:val="Footer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D21A1" w14:textId="77777777" w:rsidR="007A7E45" w:rsidRDefault="007A7E45" w:rsidP="00F352E6">
      <w:r>
        <w:separator/>
      </w:r>
    </w:p>
  </w:footnote>
  <w:footnote w:type="continuationSeparator" w:id="0">
    <w:p w14:paraId="3B03795D" w14:textId="77777777" w:rsidR="007A7E45" w:rsidRDefault="007A7E45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44172" w14:textId="77777777" w:rsidR="00EF2986" w:rsidRDefault="00EF2986" w:rsidP="00A70582">
    <w:pPr>
      <w:pStyle w:val="Header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13A1A"/>
    <w:rsid w:val="0002533C"/>
    <w:rsid w:val="000352D6"/>
    <w:rsid w:val="000C0A6C"/>
    <w:rsid w:val="0010779D"/>
    <w:rsid w:val="0013155A"/>
    <w:rsid w:val="0017490A"/>
    <w:rsid w:val="001E5246"/>
    <w:rsid w:val="0027042C"/>
    <w:rsid w:val="00311AA1"/>
    <w:rsid w:val="00382225"/>
    <w:rsid w:val="00386953"/>
    <w:rsid w:val="00463609"/>
    <w:rsid w:val="00480C76"/>
    <w:rsid w:val="004C01B5"/>
    <w:rsid w:val="0052289C"/>
    <w:rsid w:val="00524A66"/>
    <w:rsid w:val="00526A7C"/>
    <w:rsid w:val="005A70C0"/>
    <w:rsid w:val="005B6ED7"/>
    <w:rsid w:val="005E2D85"/>
    <w:rsid w:val="00633683"/>
    <w:rsid w:val="00674346"/>
    <w:rsid w:val="006B3283"/>
    <w:rsid w:val="00702153"/>
    <w:rsid w:val="007665AA"/>
    <w:rsid w:val="007A7E45"/>
    <w:rsid w:val="007D1C46"/>
    <w:rsid w:val="007D395B"/>
    <w:rsid w:val="007D4430"/>
    <w:rsid w:val="00847495"/>
    <w:rsid w:val="008636E2"/>
    <w:rsid w:val="008A7E2A"/>
    <w:rsid w:val="009359F2"/>
    <w:rsid w:val="0094382E"/>
    <w:rsid w:val="00951B1A"/>
    <w:rsid w:val="009E33D3"/>
    <w:rsid w:val="00A021A2"/>
    <w:rsid w:val="00A320E5"/>
    <w:rsid w:val="00A70582"/>
    <w:rsid w:val="00AB5FEA"/>
    <w:rsid w:val="00AB7B4E"/>
    <w:rsid w:val="00B15946"/>
    <w:rsid w:val="00B2737F"/>
    <w:rsid w:val="00B31E2E"/>
    <w:rsid w:val="00B41BF8"/>
    <w:rsid w:val="00BA487B"/>
    <w:rsid w:val="00BA7BD1"/>
    <w:rsid w:val="00BB642B"/>
    <w:rsid w:val="00BF02E9"/>
    <w:rsid w:val="00BF3F24"/>
    <w:rsid w:val="00C7470A"/>
    <w:rsid w:val="00DE2416"/>
    <w:rsid w:val="00E42E87"/>
    <w:rsid w:val="00E62EF0"/>
    <w:rsid w:val="00ED0E3A"/>
    <w:rsid w:val="00EF2986"/>
    <w:rsid w:val="00F231BA"/>
    <w:rsid w:val="00F352E6"/>
    <w:rsid w:val="00F67315"/>
    <w:rsid w:val="00F91724"/>
    <w:rsid w:val="00F92AEE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F9C9BEC"/>
  <w15:docId w15:val="{8B5D75BC-09A8-4A24-AF6B-EA091288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Heading1">
    <w:name w:val="heading 1"/>
    <w:basedOn w:val="Normal"/>
    <w:next w:val="Normal"/>
    <w:link w:val="Heading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Heading8">
    <w:name w:val="heading 8"/>
    <w:basedOn w:val="Normal6"/>
    <w:next w:val="Normal"/>
    <w:link w:val="Heading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Heading2Char">
    <w:name w:val="Heading 2 Char"/>
    <w:basedOn w:val="DefaultParagraphFont"/>
    <w:link w:val="Heading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Heading3Char">
    <w:name w:val="Heading 3 Char"/>
    <w:basedOn w:val="DefaultParagraphFont"/>
    <w:link w:val="Heading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Heading4Char">
    <w:name w:val="Heading 4 Char"/>
    <w:basedOn w:val="DefaultParagraphFont"/>
    <w:link w:val="Heading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Heading5Char">
    <w:name w:val="Heading 5 Char"/>
    <w:basedOn w:val="DefaultParagraphFont"/>
    <w:link w:val="Heading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Heading6Char">
    <w:name w:val="Heading 6 Char"/>
    <w:basedOn w:val="DefaultParagraphFont"/>
    <w:link w:val="Heading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Heading7Char">
    <w:name w:val="Heading 7 Char"/>
    <w:basedOn w:val="DefaultParagraphFont"/>
    <w:link w:val="Heading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Header">
    <w:name w:val="header"/>
    <w:basedOn w:val="Normal"/>
    <w:link w:val="Header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Footer">
    <w:name w:val="footer"/>
    <w:basedOn w:val="Normal"/>
    <w:link w:val="Footer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FooterChar">
    <w:name w:val="Footer Char"/>
    <w:basedOn w:val="DefaultParagraphFont"/>
    <w:link w:val="Footer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PageNumber">
    <w:name w:val="page number"/>
    <w:basedOn w:val="DefaultParagraphFont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DefaultParagraphFont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DefaultParagraphFont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DefaultParagraphFont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Emphasis">
    <w:name w:val="Emphasis"/>
    <w:basedOn w:val="DefaultParagraphFont"/>
    <w:qFormat/>
    <w:rsid w:val="00480C76"/>
    <w:rPr>
      <w:b/>
      <w:bCs/>
      <w:i w:val="0"/>
      <w:iCs w:val="0"/>
    </w:rPr>
  </w:style>
  <w:style w:type="character" w:styleId="Strong">
    <w:name w:val="Strong"/>
    <w:basedOn w:val="DefaultParagraphFont"/>
    <w:qFormat/>
    <w:rsid w:val="00480C76"/>
    <w:rPr>
      <w:b/>
      <w:bCs/>
    </w:rPr>
  </w:style>
  <w:style w:type="character" w:styleId="Hyperlink">
    <w:name w:val="Hyperlink"/>
    <w:basedOn w:val="DefaultParagraphFont"/>
    <w:rsid w:val="00480C76"/>
    <w:rPr>
      <w:color w:val="0000FF"/>
      <w:u w:val="single"/>
    </w:rPr>
  </w:style>
  <w:style w:type="table" w:styleId="TableGrid">
    <w:name w:val="Table Grid"/>
    <w:basedOn w:val="TableNormal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DefaultParagraphFont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Heading8Char">
    <w:name w:val="Heading 8 Char"/>
    <w:basedOn w:val="DefaultParagraphFont"/>
    <w:link w:val="Heading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TableNormal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TableNormal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35C74-F0A5-43D9-90B4-B27B2CF5F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3300</Words>
  <Characters>18813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Anita Marasović</dc:creator>
  <cp:lastModifiedBy>Zrinka Vukoja</cp:lastModifiedBy>
  <cp:revision>2</cp:revision>
  <dcterms:created xsi:type="dcterms:W3CDTF">2025-03-14T08:49:00Z</dcterms:created>
  <dcterms:modified xsi:type="dcterms:W3CDTF">2025-03-14T08:49:00Z</dcterms:modified>
</cp:coreProperties>
</file>